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F104C" w14:textId="63EB8540" w:rsidR="00E90E49" w:rsidRPr="00305FE7" w:rsidRDefault="00E90E49" w:rsidP="00E35559">
      <w:pPr>
        <w:pStyle w:val="3GPPHeader"/>
        <w:spacing w:after="60"/>
      </w:pPr>
      <w:r w:rsidRPr="00CE0424">
        <w:t>3GPP TSG-RAN WG</w:t>
      </w:r>
      <w:r w:rsidR="00494A94">
        <w:t>1</w:t>
      </w:r>
      <w:r w:rsidRPr="00CE0424">
        <w:t xml:space="preserve"> #</w:t>
      </w:r>
      <w:r w:rsidR="00501BBA">
        <w:t>86</w:t>
      </w:r>
      <w:r w:rsidR="004D7F9F">
        <w:t>bis</w:t>
      </w:r>
      <w:r w:rsidRPr="00CE0424">
        <w:tab/>
      </w:r>
      <w:r w:rsidRPr="00CE0424">
        <w:rPr>
          <w:sz w:val="32"/>
          <w:szCs w:val="32"/>
        </w:rPr>
        <w:t xml:space="preserve"> </w:t>
      </w:r>
      <w:r w:rsidR="00217AB2" w:rsidRPr="00305FE7">
        <w:t>R1-1608705</w:t>
      </w:r>
    </w:p>
    <w:p w14:paraId="451120B4" w14:textId="77777777" w:rsidR="00EC60B5" w:rsidRDefault="004D7F9F" w:rsidP="00EC60B5">
      <w:pPr>
        <w:pStyle w:val="CRCoverPage"/>
        <w:outlineLvl w:val="0"/>
        <w:rPr>
          <w:b/>
          <w:noProof/>
          <w:sz w:val="24"/>
        </w:rPr>
      </w:pPr>
      <w:r w:rsidRPr="004D7F9F">
        <w:rPr>
          <w:b/>
          <w:noProof/>
          <w:sz w:val="24"/>
        </w:rPr>
        <w:t>Lisbon</w:t>
      </w:r>
      <w:r w:rsidR="00EC60B5">
        <w:rPr>
          <w:b/>
          <w:noProof/>
          <w:sz w:val="24"/>
        </w:rPr>
        <w:t xml:space="preserve">, </w:t>
      </w:r>
      <w:r w:rsidRPr="004D7F9F">
        <w:rPr>
          <w:b/>
          <w:noProof/>
          <w:sz w:val="24"/>
        </w:rPr>
        <w:t>Portugal</w:t>
      </w:r>
      <w:r w:rsidR="00EC60B5" w:rsidRPr="00AB78B2">
        <w:rPr>
          <w:b/>
          <w:noProof/>
          <w:sz w:val="24"/>
        </w:rPr>
        <w:t xml:space="preserve">, </w:t>
      </w:r>
      <w:r>
        <w:rPr>
          <w:b/>
          <w:noProof/>
          <w:sz w:val="24"/>
        </w:rPr>
        <w:t>10</w:t>
      </w:r>
      <w:r w:rsidRPr="004D7F9F">
        <w:rPr>
          <w:b/>
          <w:noProof/>
          <w:sz w:val="24"/>
          <w:vertAlign w:val="superscript"/>
        </w:rPr>
        <w:t>th</w:t>
      </w:r>
      <w:r w:rsidR="00EC60B5" w:rsidRPr="00AB78B2">
        <w:rPr>
          <w:b/>
          <w:noProof/>
          <w:sz w:val="24"/>
        </w:rPr>
        <w:t xml:space="preserve"> – </w:t>
      </w:r>
      <w:r>
        <w:rPr>
          <w:b/>
          <w:noProof/>
          <w:sz w:val="24"/>
        </w:rPr>
        <w:t>14</w:t>
      </w:r>
      <w:r w:rsidR="00EC60B5">
        <w:rPr>
          <w:b/>
          <w:noProof/>
          <w:sz w:val="24"/>
          <w:vertAlign w:val="superscript"/>
        </w:rPr>
        <w:t>th</w:t>
      </w:r>
      <w:r w:rsidR="00EC60B5" w:rsidRPr="00AB78B2">
        <w:rPr>
          <w:b/>
          <w:noProof/>
          <w:sz w:val="24"/>
        </w:rPr>
        <w:t xml:space="preserve"> </w:t>
      </w:r>
      <w:r>
        <w:rPr>
          <w:b/>
          <w:noProof/>
          <w:sz w:val="24"/>
        </w:rPr>
        <w:t>Oct</w:t>
      </w:r>
      <w:r w:rsidR="00EC60B5">
        <w:rPr>
          <w:b/>
          <w:noProof/>
          <w:sz w:val="24"/>
        </w:rPr>
        <w:t xml:space="preserve"> 2016</w:t>
      </w:r>
    </w:p>
    <w:p w14:paraId="3D208537" w14:textId="77777777" w:rsidR="00E90E49" w:rsidRPr="00CE0424" w:rsidRDefault="00E90E49" w:rsidP="00357380">
      <w:pPr>
        <w:pStyle w:val="3GPPHeader"/>
      </w:pPr>
    </w:p>
    <w:p w14:paraId="23A35112" w14:textId="012C5111"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3A6173" w:rsidRPr="003A6173">
        <w:rPr>
          <w:sz w:val="22"/>
          <w:szCs w:val="22"/>
          <w:lang w:val="en-US"/>
        </w:rPr>
        <w:t>7.2.9.3</w:t>
      </w:r>
    </w:p>
    <w:p w14:paraId="4B69DAF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01C46B"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4D7F9F">
        <w:rPr>
          <w:sz w:val="22"/>
          <w:szCs w:val="22"/>
        </w:rPr>
        <w:t>NB-IoT Paging Capacity</w:t>
      </w:r>
    </w:p>
    <w:p w14:paraId="59D9076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4D7F9F">
        <w:rPr>
          <w:sz w:val="22"/>
          <w:szCs w:val="22"/>
        </w:rPr>
        <w:t>Discussion and</w:t>
      </w:r>
      <w:r w:rsidRPr="00982157">
        <w:rPr>
          <w:sz w:val="22"/>
          <w:szCs w:val="22"/>
        </w:rPr>
        <w:t xml:space="preserve"> Decision</w:t>
      </w:r>
    </w:p>
    <w:p w14:paraId="75FEB02B" w14:textId="77777777" w:rsidR="00E90E49" w:rsidRPr="00CE0424" w:rsidRDefault="00E90E49" w:rsidP="00E90E49"/>
    <w:p w14:paraId="46B95E14" w14:textId="77777777" w:rsidR="00E90E49" w:rsidRPr="00CE0424" w:rsidRDefault="00E90E49" w:rsidP="00CE0424">
      <w:pPr>
        <w:pStyle w:val="Heading1"/>
      </w:pPr>
      <w:r w:rsidRPr="00CE0424">
        <w:t>Introduction</w:t>
      </w:r>
    </w:p>
    <w:p w14:paraId="505AF3DD" w14:textId="0928B633" w:rsidR="00501BBA" w:rsidRDefault="00C24B53" w:rsidP="00CE0424">
      <w:pPr>
        <w:pStyle w:val="BodyText"/>
      </w:pPr>
      <w:r>
        <w:t xml:space="preserve">In Rel-13 the paging procedure is done on the anchor carrier that includes transmitting a DCI (format N2) message scrambled with the P-RNTI on the NPDCCH followed by the paging message on the NPDSCH. </w:t>
      </w:r>
      <w:r w:rsidR="00A21ECB">
        <w:t xml:space="preserve">In RAN#86 meeting, a discussion paper </w:t>
      </w:r>
      <w:r w:rsidR="00D6023A">
        <w:rPr>
          <w:highlight w:val="yellow"/>
        </w:rPr>
        <w:fldChar w:fldCharType="begin"/>
      </w:r>
      <w:r w:rsidR="00D6023A">
        <w:instrText xml:space="preserve"> REF _Ref463027896 \r \h </w:instrText>
      </w:r>
      <w:r w:rsidR="00D6023A">
        <w:rPr>
          <w:highlight w:val="yellow"/>
        </w:rPr>
      </w:r>
      <w:r w:rsidR="00D6023A">
        <w:rPr>
          <w:highlight w:val="yellow"/>
        </w:rPr>
        <w:fldChar w:fldCharType="separate"/>
      </w:r>
      <w:r w:rsidR="00FF1302">
        <w:t>[3]</w:t>
      </w:r>
      <w:r w:rsidR="00D6023A">
        <w:rPr>
          <w:highlight w:val="yellow"/>
        </w:rPr>
        <w:fldChar w:fldCharType="end"/>
      </w:r>
      <w:r w:rsidR="00A21ECB">
        <w:t xml:space="preserve"> indicates that the available resource for paging on NB-</w:t>
      </w:r>
      <w:r w:rsidR="00FF1313">
        <w:t xml:space="preserve">IoT anchor carrier may not be enough to support a large number of NB-IoT UEs, especially for in-band operation. </w:t>
      </w:r>
    </w:p>
    <w:p w14:paraId="4C4A53E1" w14:textId="161904D4" w:rsidR="00FF1313" w:rsidRDefault="00FF1313" w:rsidP="00CE0424">
      <w:pPr>
        <w:pStyle w:val="BodyText"/>
      </w:pPr>
      <w:r>
        <w:t xml:space="preserve">The discussions in </w:t>
      </w:r>
      <w:r w:rsidR="00D6023A">
        <w:rPr>
          <w:highlight w:val="yellow"/>
        </w:rPr>
        <w:fldChar w:fldCharType="begin"/>
      </w:r>
      <w:r w:rsidR="00D6023A">
        <w:instrText xml:space="preserve"> REF _Ref463027896 \r \h </w:instrText>
      </w:r>
      <w:r w:rsidR="00D6023A">
        <w:rPr>
          <w:highlight w:val="yellow"/>
        </w:rPr>
      </w:r>
      <w:r w:rsidR="00D6023A">
        <w:rPr>
          <w:highlight w:val="yellow"/>
        </w:rPr>
        <w:fldChar w:fldCharType="separate"/>
      </w:r>
      <w:r w:rsidR="00FF1302">
        <w:t>[3]</w:t>
      </w:r>
      <w:r w:rsidR="00D6023A">
        <w:rPr>
          <w:highlight w:val="yellow"/>
        </w:rPr>
        <w:fldChar w:fldCharType="end"/>
      </w:r>
      <w:r>
        <w:t xml:space="preserve"> have several flaws and the conclusions in</w:t>
      </w:r>
      <w:r w:rsidR="00D6023A">
        <w:t xml:space="preserve"> </w:t>
      </w:r>
      <w:r w:rsidR="00D6023A">
        <w:fldChar w:fldCharType="begin"/>
      </w:r>
      <w:r w:rsidR="00D6023A">
        <w:instrText xml:space="preserve"> REF _Ref463027896 \r \h </w:instrText>
      </w:r>
      <w:r w:rsidR="00D6023A">
        <w:fldChar w:fldCharType="separate"/>
      </w:r>
      <w:r w:rsidR="00FF1302">
        <w:t>[3]</w:t>
      </w:r>
      <w:r w:rsidR="00D6023A">
        <w:fldChar w:fldCharType="end"/>
      </w:r>
      <w:r>
        <w:t xml:space="preserve"> are based on </w:t>
      </w:r>
      <w:r w:rsidR="00D6023A">
        <w:t>inconclusive</w:t>
      </w:r>
      <w:r>
        <w:t xml:space="preserve"> assumptions. Hence, the observations and proposals in </w:t>
      </w:r>
      <w:r w:rsidR="00D6023A">
        <w:fldChar w:fldCharType="begin"/>
      </w:r>
      <w:r w:rsidR="00D6023A">
        <w:instrText xml:space="preserve"> REF _Ref463027896 \r \h </w:instrText>
      </w:r>
      <w:r w:rsidR="00D6023A">
        <w:fldChar w:fldCharType="separate"/>
      </w:r>
      <w:r w:rsidR="00FF1302">
        <w:t>[3]</w:t>
      </w:r>
      <w:r w:rsidR="00D6023A">
        <w:fldChar w:fldCharType="end"/>
      </w:r>
      <w:r>
        <w:t xml:space="preserve"> are obviously wrong and misleading. Therefore, in this contribution, we give detailed discussions and analysis about the paging capacity on the NB-IoT anchor carrier. </w:t>
      </w:r>
    </w:p>
    <w:p w14:paraId="5A80BC79" w14:textId="77777777" w:rsidR="001643A8" w:rsidRDefault="00FF1313" w:rsidP="00CE0424">
      <w:pPr>
        <w:pStyle w:val="Heading1"/>
      </w:pPr>
      <w:r>
        <w:t>Traffic model</w:t>
      </w:r>
    </w:p>
    <w:p w14:paraId="17CB50B7" w14:textId="53E257DE" w:rsidR="00A215E2" w:rsidRDefault="00FF1313" w:rsidP="00A215E2">
      <w:pPr>
        <w:rPr>
          <w:rFonts w:eastAsia="SimSun"/>
          <w:kern w:val="2"/>
        </w:rPr>
      </w:pPr>
      <w:r>
        <w:t>The traffic model and UE distribution model is given</w:t>
      </w:r>
      <w:r w:rsidR="00562812">
        <w:t xml:space="preserve"> in the appendix in TR 45.820 </w:t>
      </w:r>
      <w:r w:rsidR="00562812">
        <w:fldChar w:fldCharType="begin"/>
      </w:r>
      <w:r w:rsidR="00562812">
        <w:instrText xml:space="preserve"> REF _Ref463027031 \r \h </w:instrText>
      </w:r>
      <w:r w:rsidR="00562812">
        <w:fldChar w:fldCharType="separate"/>
      </w:r>
      <w:r w:rsidR="00FF1302">
        <w:t>[2]</w:t>
      </w:r>
      <w:r w:rsidR="00562812">
        <w:fldChar w:fldCharType="end"/>
      </w:r>
      <w:r>
        <w:t xml:space="preserve">, which the UE has the arriving rate as </w:t>
      </w:r>
      <w:r w:rsidRPr="00613B9F">
        <w:rPr>
          <w:rFonts w:eastAsia="SimSun"/>
          <w:kern w:val="2"/>
        </w:rPr>
        <w:t>1 day (40%), 2 hours (40%), 1 hour (15%), and 30 minutes (5%).</w:t>
      </w:r>
      <w:r>
        <w:rPr>
          <w:rFonts w:eastAsia="SimSun"/>
          <w:kern w:val="2"/>
        </w:rPr>
        <w:t xml:space="preserve"> This arriving rate applies both for DL and UL traffic. Paging occurs when the UE is in RRC idol mode and when the network needs to reach the UE to send “network command”</w:t>
      </w:r>
      <w:r w:rsidR="00A215E2">
        <w:rPr>
          <w:rFonts w:eastAsia="SimSun"/>
          <w:kern w:val="2"/>
        </w:rPr>
        <w:t>. Therefore, the resource needed for paging depends on the amount of “network command”. We adopt the resource cal</w:t>
      </w:r>
      <w:r w:rsidR="00D6023A">
        <w:rPr>
          <w:rFonts w:eastAsia="SimSun"/>
          <w:kern w:val="2"/>
        </w:rPr>
        <w:t xml:space="preserve">culations for paging given in </w:t>
      </w:r>
      <w:r w:rsidR="00D6023A">
        <w:rPr>
          <w:rFonts w:eastAsia="SimSun"/>
          <w:kern w:val="2"/>
        </w:rPr>
        <w:fldChar w:fldCharType="begin"/>
      </w:r>
      <w:r w:rsidR="00D6023A">
        <w:rPr>
          <w:rFonts w:eastAsia="SimSun"/>
          <w:kern w:val="2"/>
        </w:rPr>
        <w:instrText xml:space="preserve"> REF _Ref463027896 \r \h </w:instrText>
      </w:r>
      <w:r w:rsidR="00D6023A">
        <w:rPr>
          <w:rFonts w:eastAsia="SimSun"/>
          <w:kern w:val="2"/>
        </w:rPr>
      </w:r>
      <w:r w:rsidR="00D6023A">
        <w:rPr>
          <w:rFonts w:eastAsia="SimSun"/>
          <w:kern w:val="2"/>
        </w:rPr>
        <w:fldChar w:fldCharType="separate"/>
      </w:r>
      <w:r w:rsidR="00FF1302">
        <w:rPr>
          <w:rFonts w:eastAsia="SimSun"/>
          <w:kern w:val="2"/>
        </w:rPr>
        <w:t>[3]</w:t>
      </w:r>
      <w:r w:rsidR="00D6023A">
        <w:rPr>
          <w:rFonts w:eastAsia="SimSun"/>
          <w:kern w:val="2"/>
        </w:rPr>
        <w:fldChar w:fldCharType="end"/>
      </w:r>
      <w:r w:rsidR="00A215E2">
        <w:rPr>
          <w:rFonts w:eastAsia="SimSun"/>
          <w:kern w:val="2"/>
        </w:rPr>
        <w:t xml:space="preserve">, and the </w:t>
      </w:r>
      <w:r w:rsidR="00A215E2" w:rsidRPr="00613B9F">
        <w:rPr>
          <w:rFonts w:eastAsia="SimSun"/>
          <w:kern w:val="2"/>
        </w:rPr>
        <w:t>number of paging occurrences per day in each cell is calculated as follows.</w:t>
      </w:r>
    </w:p>
    <w:p w14:paraId="6DE43F64" w14:textId="77777777" w:rsidR="003D3F7B" w:rsidRPr="00613B9F" w:rsidRDefault="003D3F7B" w:rsidP="003D3F7B">
      <w:pPr>
        <w:rPr>
          <w:rFonts w:eastAsia="SimSun"/>
          <w:kern w:val="2"/>
        </w:rPr>
      </w:pPr>
      <w:r w:rsidRPr="00613B9F">
        <w:rPr>
          <w:rFonts w:eastAsia="SimSun"/>
          <w:kern w:val="2"/>
        </w:rPr>
        <w:t>The number of paging occurrences per day in each cell is calculated as follows.</w:t>
      </w:r>
    </w:p>
    <w:p w14:paraId="6860C108" w14:textId="77777777" w:rsidR="003D3F7B" w:rsidRPr="00613B9F" w:rsidRDefault="000A62BD" w:rsidP="00C24B53">
      <w:pPr>
        <w:jc w:val="center"/>
        <w:rPr>
          <w:rFonts w:eastAsia="SimSun"/>
          <w:kern w:val="2"/>
        </w:rPr>
      </w:pPr>
      <m:oMath>
        <m:sSub>
          <m:sSubPr>
            <m:ctrlPr>
              <w:rPr>
                <w:rFonts w:ascii="Cambria Math" w:eastAsia="SimSun" w:hAnsi="Cambria Math"/>
                <w:kern w:val="2"/>
              </w:rPr>
            </m:ctrlPr>
          </m:sSubPr>
          <m:e>
            <m:r>
              <w:rPr>
                <w:rFonts w:ascii="Cambria Math" w:eastAsia="SimSun" w:hAnsi="Cambria Math"/>
                <w:kern w:val="2"/>
              </w:rPr>
              <m:t>N</m:t>
            </m:r>
          </m:e>
          <m:sub>
            <m:r>
              <w:rPr>
                <w:rFonts w:ascii="Cambria Math" w:eastAsia="SimSun" w:hAnsi="Cambria Math"/>
                <w:kern w:val="2"/>
              </w:rPr>
              <m:t>paging</m:t>
            </m:r>
          </m:sub>
        </m:sSub>
        <m:r>
          <w:rPr>
            <w:rFonts w:ascii="Cambria Math" w:eastAsia="SimSun" w:hAnsi="Cambria Math"/>
            <w:kern w:val="2"/>
          </w:rPr>
          <m:t>=α∙N∙</m:t>
        </m:r>
        <m:d>
          <m:dPr>
            <m:ctrlPr>
              <w:rPr>
                <w:rFonts w:ascii="Cambria Math" w:eastAsia="SimSun" w:hAnsi="Cambria Math"/>
                <w:i/>
                <w:kern w:val="2"/>
              </w:rPr>
            </m:ctrlPr>
          </m:dPr>
          <m:e>
            <m:r>
              <w:rPr>
                <w:rFonts w:ascii="Cambria Math" w:eastAsia="SimSun" w:hAnsi="Cambria Math"/>
                <w:kern w:val="2"/>
              </w:rPr>
              <m:t>40%×1+40%×12+15%×24+5%×48</m:t>
            </m:r>
          </m:e>
        </m:d>
        <m:r>
          <w:rPr>
            <w:rFonts w:ascii="Cambria Math" w:eastAsia="SimSun" w:hAnsi="Cambria Math"/>
            <w:kern w:val="2"/>
          </w:rPr>
          <m:t>=11.2∙α∙N</m:t>
        </m:r>
      </m:oMath>
      <w:r w:rsidR="003D3F7B">
        <w:rPr>
          <w:rFonts w:eastAsia="SimSun"/>
          <w:kern w:val="2"/>
        </w:rPr>
        <w:t>,</w:t>
      </w:r>
    </w:p>
    <w:p w14:paraId="62DA4AB6" w14:textId="77777777" w:rsidR="003D3F7B" w:rsidRDefault="003D3F7B" w:rsidP="003D3F7B">
      <w:pPr>
        <w:rPr>
          <w:rFonts w:eastAsia="SimSun"/>
          <w:kern w:val="2"/>
        </w:rPr>
      </w:pPr>
      <w:r w:rsidRPr="00613B9F">
        <w:rPr>
          <w:rFonts w:eastAsia="SimSun"/>
          <w:kern w:val="2"/>
        </w:rPr>
        <w:t xml:space="preserve">where </w:t>
      </w:r>
      <m:oMath>
        <m:r>
          <w:rPr>
            <w:rFonts w:ascii="Cambria Math" w:eastAsia="SimSun" w:hAnsi="Cambria Math"/>
            <w:kern w:val="2"/>
          </w:rPr>
          <m:t>N</m:t>
        </m:r>
      </m:oMath>
      <w:r w:rsidRPr="00613B9F">
        <w:rPr>
          <w:rFonts w:eastAsia="SimSun"/>
          <w:kern w:val="2"/>
        </w:rPr>
        <w:t xml:space="preserve"> is the number of UEs per cell and </w:t>
      </w:r>
      <m:oMath>
        <m:r>
          <w:rPr>
            <w:rFonts w:ascii="Cambria Math" w:eastAsia="SimSun" w:hAnsi="Cambria Math"/>
            <w:kern w:val="2"/>
          </w:rPr>
          <m:t>α</m:t>
        </m:r>
      </m:oMath>
      <w:r w:rsidRPr="00613B9F">
        <w:rPr>
          <w:rFonts w:eastAsia="SimSun"/>
          <w:kern w:val="2"/>
        </w:rPr>
        <w:t xml:space="preserve"> </w:t>
      </w:r>
      <w:r>
        <w:rPr>
          <w:rFonts w:eastAsia="SimSun"/>
          <w:kern w:val="2"/>
        </w:rPr>
        <w:t>is the ratio of network commands</w:t>
      </w:r>
      <w:r w:rsidRPr="00613B9F">
        <w:rPr>
          <w:rFonts w:eastAsia="SimSun"/>
          <w:kern w:val="2"/>
        </w:rPr>
        <w:t>.</w:t>
      </w:r>
    </w:p>
    <w:p w14:paraId="6B711D27" w14:textId="3414B8C6" w:rsidR="003D3F7B" w:rsidRDefault="003D3F7B" w:rsidP="003D3F7B">
      <w:pPr>
        <w:rPr>
          <w:rFonts w:eastAsia="SimSun"/>
          <w:kern w:val="2"/>
        </w:rPr>
      </w:pPr>
      <w:r>
        <w:rPr>
          <w:rFonts w:eastAsia="SimSun"/>
          <w:kern w:val="2"/>
        </w:rPr>
        <w:t xml:space="preserve">It is worth mentioned that the IoT applications are usually initialized from the UE side, e.g., reporting measurements from meters or sensors, and the amount of DL data are foreseeable much less than the UL. This is reflected not only in the traffic model given in TR 45.820, where the DL network command only have a fixed size of 20 bytes, but the UL report has a size between 20 bytes and 200 byes, but also in the NB-IoT system design where the DL has a maximum TBS of 680 bits but the UL has a maximum TBS of 1000 bits. Therefore, the calculations in </w:t>
      </w:r>
      <w:r w:rsidR="00D6023A">
        <w:rPr>
          <w:rFonts w:eastAsia="SimSun"/>
          <w:kern w:val="2"/>
          <w:highlight w:val="yellow"/>
        </w:rPr>
        <w:fldChar w:fldCharType="begin"/>
      </w:r>
      <w:r w:rsidR="00D6023A">
        <w:rPr>
          <w:rFonts w:eastAsia="SimSun"/>
          <w:kern w:val="2"/>
        </w:rPr>
        <w:instrText xml:space="preserve"> REF _Ref463027896 \r \h </w:instrText>
      </w:r>
      <w:r w:rsidR="00D6023A">
        <w:rPr>
          <w:rFonts w:eastAsia="SimSun"/>
          <w:kern w:val="2"/>
          <w:highlight w:val="yellow"/>
        </w:rPr>
      </w:r>
      <w:r w:rsidR="00D6023A">
        <w:rPr>
          <w:rFonts w:eastAsia="SimSun"/>
          <w:kern w:val="2"/>
          <w:highlight w:val="yellow"/>
        </w:rPr>
        <w:fldChar w:fldCharType="separate"/>
      </w:r>
      <w:r w:rsidR="00FF1302">
        <w:rPr>
          <w:rFonts w:eastAsia="SimSun"/>
          <w:kern w:val="2"/>
        </w:rPr>
        <w:t>[3]</w:t>
      </w:r>
      <w:r w:rsidR="00D6023A">
        <w:rPr>
          <w:rFonts w:eastAsia="SimSun"/>
          <w:kern w:val="2"/>
          <w:highlight w:val="yellow"/>
        </w:rPr>
        <w:fldChar w:fldCharType="end"/>
      </w:r>
      <w:r>
        <w:rPr>
          <w:rFonts w:eastAsia="SimSun"/>
          <w:kern w:val="2"/>
        </w:rPr>
        <w:t xml:space="preserve"> where some of the calculations assume 60% or 100% network command ratio </w:t>
      </w:r>
      <w:r w:rsidR="00D6023A">
        <w:rPr>
          <w:rFonts w:eastAsia="SimSun"/>
          <w:kern w:val="2"/>
        </w:rPr>
        <w:t xml:space="preserve">needs </w:t>
      </w:r>
      <w:r w:rsidR="007A1322">
        <w:rPr>
          <w:rFonts w:eastAsia="SimSun"/>
          <w:kern w:val="2"/>
        </w:rPr>
        <w:t>further</w:t>
      </w:r>
      <w:r w:rsidR="00D6023A">
        <w:rPr>
          <w:rFonts w:eastAsia="SimSun"/>
          <w:kern w:val="2"/>
        </w:rPr>
        <w:t xml:space="preserve"> </w:t>
      </w:r>
      <w:r w:rsidR="007A1322">
        <w:rPr>
          <w:rFonts w:eastAsia="SimSun"/>
          <w:kern w:val="2"/>
        </w:rPr>
        <w:t>deliberations</w:t>
      </w:r>
      <w:r>
        <w:rPr>
          <w:rFonts w:eastAsia="SimSun"/>
          <w:kern w:val="2"/>
        </w:rPr>
        <w:t xml:space="preserve">.  </w:t>
      </w:r>
    </w:p>
    <w:p w14:paraId="6D7856BA" w14:textId="5AD881AE" w:rsidR="003D3F7B" w:rsidRPr="00EF60FC" w:rsidRDefault="003D3F7B" w:rsidP="003D3F7B">
      <w:pPr>
        <w:pStyle w:val="BodyText"/>
        <w:ind w:left="1560" w:hanging="1560"/>
        <w:rPr>
          <w:rFonts w:ascii="Times New Roman" w:hAnsi="Times New Roman"/>
          <w:b/>
          <w:bCs/>
          <w:i/>
        </w:rPr>
      </w:pPr>
      <w:r w:rsidRPr="00EF60FC">
        <w:rPr>
          <w:rFonts w:ascii="Times New Roman" w:hAnsi="Times New Roman"/>
          <w:b/>
          <w:bCs/>
          <w:i/>
        </w:rPr>
        <w:t>Observation 1</w:t>
      </w:r>
      <w:r w:rsidRPr="00EF60FC">
        <w:rPr>
          <w:rFonts w:ascii="Times New Roman" w:hAnsi="Times New Roman"/>
          <w:b/>
          <w:bCs/>
          <w:i/>
        </w:rPr>
        <w:tab/>
      </w:r>
      <w:r>
        <w:rPr>
          <w:rFonts w:ascii="Times New Roman" w:hAnsi="Times New Roman"/>
          <w:b/>
          <w:bCs/>
          <w:i/>
        </w:rPr>
        <w:t xml:space="preserve">Due to the traffic properties of </w:t>
      </w:r>
      <w:r w:rsidR="00362705">
        <w:rPr>
          <w:rFonts w:ascii="Times New Roman" w:hAnsi="Times New Roman"/>
          <w:b/>
          <w:bCs/>
          <w:i/>
        </w:rPr>
        <w:t>NB-</w:t>
      </w:r>
      <w:r>
        <w:rPr>
          <w:rFonts w:ascii="Times New Roman" w:hAnsi="Times New Roman"/>
          <w:b/>
          <w:bCs/>
          <w:i/>
        </w:rPr>
        <w:t xml:space="preserve">IoT applications, the ratio of the network commands </w:t>
      </w:r>
      <w:r w:rsidR="00D6023A">
        <w:rPr>
          <w:rFonts w:ascii="Times New Roman" w:hAnsi="Times New Roman"/>
          <w:b/>
          <w:bCs/>
          <w:i/>
        </w:rPr>
        <w:t xml:space="preserve">among all traffics </w:t>
      </w:r>
      <w:r>
        <w:rPr>
          <w:rFonts w:ascii="Times New Roman" w:hAnsi="Times New Roman"/>
          <w:b/>
          <w:bCs/>
          <w:i/>
        </w:rPr>
        <w:t xml:space="preserve">should </w:t>
      </w:r>
      <w:r w:rsidR="00D6023A">
        <w:rPr>
          <w:rFonts w:ascii="Times New Roman" w:hAnsi="Times New Roman"/>
          <w:b/>
          <w:bCs/>
          <w:i/>
        </w:rPr>
        <w:t xml:space="preserve">not </w:t>
      </w:r>
      <w:r>
        <w:rPr>
          <w:rFonts w:ascii="Times New Roman" w:hAnsi="Times New Roman"/>
          <w:b/>
          <w:bCs/>
          <w:i/>
        </w:rPr>
        <w:t xml:space="preserve">be </w:t>
      </w:r>
      <w:r w:rsidR="00D6023A">
        <w:rPr>
          <w:rFonts w:ascii="Times New Roman" w:hAnsi="Times New Roman"/>
          <w:b/>
          <w:bCs/>
          <w:i/>
        </w:rPr>
        <w:t xml:space="preserve">too high. </w:t>
      </w:r>
    </w:p>
    <w:p w14:paraId="3CA41DA0" w14:textId="77777777" w:rsidR="00FF1313" w:rsidRDefault="00001B38" w:rsidP="00FF1313">
      <w:pPr>
        <w:pStyle w:val="Heading1"/>
      </w:pPr>
      <w:r>
        <w:t>Paging procedures</w:t>
      </w:r>
    </w:p>
    <w:p w14:paraId="7F1146EE" w14:textId="3D2D11A4" w:rsidR="00001B38" w:rsidRDefault="00D6023A" w:rsidP="00001B38">
      <w:r>
        <w:t xml:space="preserve">In </w:t>
      </w:r>
      <w:r>
        <w:fldChar w:fldCharType="begin"/>
      </w:r>
      <w:r>
        <w:instrText xml:space="preserve"> REF _Ref463027896 \r \h </w:instrText>
      </w:r>
      <w:r>
        <w:fldChar w:fldCharType="separate"/>
      </w:r>
      <w:r w:rsidR="00FF1302">
        <w:t>[3]</w:t>
      </w:r>
      <w:r>
        <w:fldChar w:fldCharType="end"/>
      </w:r>
      <w:r w:rsidR="00001B38">
        <w:t>, it is claimed that “</w:t>
      </w:r>
      <w:r w:rsidR="00001B38" w:rsidRPr="00001B38">
        <w:t>Since paging is done without eNB knowing the coverage situation of the paged UEs, large coupling loss is usually assumed for NPDCCH and NPDSCH transmissions in paging procedure.</w:t>
      </w:r>
      <w:r w:rsidR="00001B38">
        <w:t xml:space="preserve">” This claimed is </w:t>
      </w:r>
      <w:r>
        <w:t>not entirely correct, at least not correct for a reasonable eNB implementation</w:t>
      </w:r>
      <w:r w:rsidR="00001B38">
        <w:t xml:space="preserve">. </w:t>
      </w:r>
    </w:p>
    <w:p w14:paraId="2C30804B" w14:textId="77777777" w:rsidR="008624A0" w:rsidRDefault="008624A0" w:rsidP="00001B38"/>
    <w:p w14:paraId="54DB276C" w14:textId="02F54AFF" w:rsidR="000C7FB7" w:rsidRDefault="00001B38" w:rsidP="00001B38">
      <w:r>
        <w:lastRenderedPageBreak/>
        <w:t xml:space="preserve">First of all, as specified in </w:t>
      </w:r>
      <w:r w:rsidR="007A1322" w:rsidRPr="005236C8">
        <w:t>Section</w:t>
      </w:r>
      <w:r w:rsidR="005236C8" w:rsidRPr="005236C8">
        <w:t xml:space="preserve"> 9.</w:t>
      </w:r>
      <w:r w:rsidR="005236C8">
        <w:t xml:space="preserve">1.6 in </w:t>
      </w:r>
      <w:r w:rsidR="005236C8">
        <w:rPr>
          <w:highlight w:val="yellow"/>
        </w:rPr>
        <w:fldChar w:fldCharType="begin"/>
      </w:r>
      <w:r w:rsidR="005236C8">
        <w:instrText xml:space="preserve"> REF _Ref463028429 \r \h </w:instrText>
      </w:r>
      <w:r w:rsidR="005236C8">
        <w:rPr>
          <w:highlight w:val="yellow"/>
        </w:rPr>
      </w:r>
      <w:r w:rsidR="005236C8">
        <w:rPr>
          <w:highlight w:val="yellow"/>
        </w:rPr>
        <w:fldChar w:fldCharType="separate"/>
      </w:r>
      <w:r w:rsidR="00FF1302">
        <w:t>[4]</w:t>
      </w:r>
      <w:r w:rsidR="005236C8">
        <w:rPr>
          <w:highlight w:val="yellow"/>
        </w:rPr>
        <w:fldChar w:fldCharType="end"/>
      </w:r>
      <w:r>
        <w:t>, when the network sends a paging r</w:t>
      </w:r>
      <w:r w:rsidR="005236C8">
        <w:t xml:space="preserve">equest, the MME would append assistance data for paging to the eNB, which includes </w:t>
      </w:r>
      <w:r>
        <w:t xml:space="preserve">last known cell of the UE, the last know UE coverage information, and the paging </w:t>
      </w:r>
      <w:r w:rsidR="005236C8">
        <w:t xml:space="preserve">attempt </w:t>
      </w:r>
      <w:r w:rsidR="007A1322">
        <w:t>information</w:t>
      </w:r>
      <w:r w:rsidR="000C7FB7">
        <w:t xml:space="preserve">. Therefore, the eNB has a rough knowledge about the coverage level of the UE it needs to page. </w:t>
      </w:r>
      <w:r w:rsidR="005236C8">
        <w:t xml:space="preserve">Certainly, the eNB can choose to ignore the </w:t>
      </w:r>
      <w:r w:rsidR="007A1322">
        <w:t>appended</w:t>
      </w:r>
      <w:r w:rsidR="005236C8">
        <w:t xml:space="preserve"> assistance data for paging from MME, but a smart eNB implementation would not do so to waste the valuable radio resources. </w:t>
      </w:r>
    </w:p>
    <w:p w14:paraId="768449F3" w14:textId="598B193C" w:rsidR="000C7FB7" w:rsidRDefault="000C7FB7" w:rsidP="00001B38">
      <w:r>
        <w:t>S</w:t>
      </w:r>
      <w:r w:rsidR="00562812">
        <w:t xml:space="preserve">econdly, as given in TR45.820 </w:t>
      </w:r>
      <w:r w:rsidR="00562812">
        <w:fldChar w:fldCharType="begin"/>
      </w:r>
      <w:r w:rsidR="00562812">
        <w:instrText xml:space="preserve"> REF _Ref463027031 \r \h </w:instrText>
      </w:r>
      <w:r w:rsidR="00562812">
        <w:fldChar w:fldCharType="separate"/>
      </w:r>
      <w:r w:rsidR="00FF1302">
        <w:t>[2]</w:t>
      </w:r>
      <w:r w:rsidR="00562812">
        <w:fldChar w:fldCharType="end"/>
      </w:r>
      <w:r>
        <w:t>, even with the worst building penetration loss (BPL) assumption, around 85% of the total UEs are in good coverage, i.e., MCL less than 144 dB</w:t>
      </w:r>
      <w:r w:rsidR="005236C8">
        <w:t xml:space="preserve">. Therefore, the assumptions in </w:t>
      </w:r>
      <w:r w:rsidR="005236C8">
        <w:fldChar w:fldCharType="begin"/>
      </w:r>
      <w:r w:rsidR="005236C8">
        <w:instrText xml:space="preserve"> REF _Ref463027896 \r \h </w:instrText>
      </w:r>
      <w:r w:rsidR="005236C8">
        <w:fldChar w:fldCharType="separate"/>
      </w:r>
      <w:r w:rsidR="00FF1302">
        <w:t>[3]</w:t>
      </w:r>
      <w:r w:rsidR="005236C8">
        <w:fldChar w:fldCharType="end"/>
      </w:r>
      <w:r>
        <w:t xml:space="preserve"> that “</w:t>
      </w:r>
      <w:r w:rsidRPr="00613B9F">
        <w:rPr>
          <w:rFonts w:eastAsia="SimSun"/>
          <w:kern w:val="2"/>
        </w:rPr>
        <w:t>target coupling loss of 154 dB and 164 dB are both assumed for the calculation of the resources for paging</w:t>
      </w:r>
      <w:r>
        <w:t xml:space="preserve">” </w:t>
      </w:r>
      <w:r w:rsidR="005236C8">
        <w:t xml:space="preserve">is overly too </w:t>
      </w:r>
      <w:r w:rsidR="007A1322">
        <w:t>pessimistic</w:t>
      </w:r>
      <w:r>
        <w:t>. A reasonable eNB implementation would take these factors into consideration when it</w:t>
      </w:r>
      <w:r w:rsidR="00C24B53">
        <w:t xml:space="preserve"> </w:t>
      </w:r>
      <w:r>
        <w:t>pages UEs</w:t>
      </w:r>
      <w:r w:rsidR="00C24B53">
        <w:t>, at least at the first time</w:t>
      </w:r>
      <w:r>
        <w:t xml:space="preserve">. And if there is no response after the first paging, the eNB can then increase the resources used for paging. Such behaviours of </w:t>
      </w:r>
      <w:r w:rsidR="00C24B53">
        <w:t>paging</w:t>
      </w:r>
      <w:r>
        <w:t xml:space="preserve"> already </w:t>
      </w:r>
      <w:r w:rsidR="00C24B53">
        <w:t>exist</w:t>
      </w:r>
      <w:r>
        <w:t xml:space="preserve"> in the current LTE system, and therefore, it is reasonable to assume the NB-IoT paging can follow the same behaviour. </w:t>
      </w:r>
    </w:p>
    <w:p w14:paraId="4C15E8D0" w14:textId="0C0DF0E9" w:rsidR="000C7FB7" w:rsidRDefault="000C7FB7" w:rsidP="000C7FB7">
      <w:pPr>
        <w:pStyle w:val="BodyText"/>
        <w:ind w:left="1560" w:hanging="1560"/>
        <w:rPr>
          <w:rFonts w:ascii="Times New Roman" w:hAnsi="Times New Roman"/>
          <w:b/>
          <w:bCs/>
          <w:i/>
        </w:rPr>
      </w:pPr>
      <w:r w:rsidRPr="00EF60FC">
        <w:rPr>
          <w:rFonts w:ascii="Times New Roman" w:hAnsi="Times New Roman"/>
          <w:b/>
          <w:bCs/>
          <w:i/>
        </w:rPr>
        <w:t xml:space="preserve">Observation </w:t>
      </w:r>
      <w:r>
        <w:rPr>
          <w:rFonts w:ascii="Times New Roman" w:hAnsi="Times New Roman"/>
          <w:b/>
          <w:bCs/>
          <w:i/>
        </w:rPr>
        <w:t>2</w:t>
      </w:r>
      <w:r w:rsidRPr="00EF60FC">
        <w:rPr>
          <w:rFonts w:ascii="Times New Roman" w:hAnsi="Times New Roman"/>
          <w:b/>
          <w:bCs/>
          <w:i/>
        </w:rPr>
        <w:tab/>
      </w:r>
      <w:r>
        <w:rPr>
          <w:rFonts w:ascii="Times New Roman" w:hAnsi="Times New Roman"/>
          <w:b/>
          <w:bCs/>
          <w:i/>
        </w:rPr>
        <w:t xml:space="preserve">The information appended </w:t>
      </w:r>
      <w:r w:rsidR="00C24B53">
        <w:rPr>
          <w:rFonts w:ascii="Times New Roman" w:hAnsi="Times New Roman"/>
          <w:b/>
          <w:bCs/>
          <w:i/>
        </w:rPr>
        <w:t xml:space="preserve">to paging request from MME to eNB contains enough information for the eNB to optimized the resource </w:t>
      </w:r>
      <w:r w:rsidR="00305FE7">
        <w:rPr>
          <w:rFonts w:ascii="Times New Roman" w:hAnsi="Times New Roman"/>
          <w:b/>
          <w:bCs/>
          <w:i/>
        </w:rPr>
        <w:t>usage</w:t>
      </w:r>
      <w:r w:rsidR="00C24B53">
        <w:rPr>
          <w:rFonts w:ascii="Times New Roman" w:hAnsi="Times New Roman"/>
          <w:b/>
          <w:bCs/>
          <w:i/>
        </w:rPr>
        <w:t xml:space="preserve"> for paging. A reasonable eNB implementation would not blindly use the maximum resource for the first paging, </w:t>
      </w:r>
      <w:r w:rsidR="00305FE7">
        <w:rPr>
          <w:rFonts w:ascii="Times New Roman" w:hAnsi="Times New Roman"/>
          <w:b/>
          <w:bCs/>
          <w:i/>
        </w:rPr>
        <w:t>in any case</w:t>
      </w:r>
      <w:r w:rsidR="00C24B53">
        <w:rPr>
          <w:rFonts w:ascii="Times New Roman" w:hAnsi="Times New Roman"/>
          <w:b/>
          <w:bCs/>
          <w:i/>
        </w:rPr>
        <w:t xml:space="preserve">.  </w:t>
      </w:r>
    </w:p>
    <w:p w14:paraId="7E53AA91" w14:textId="5B362682" w:rsidR="00562812" w:rsidRDefault="00562812" w:rsidP="005236C8">
      <w:pPr>
        <w:pStyle w:val="BodyText"/>
      </w:pPr>
      <w:r w:rsidRPr="005236C8">
        <w:t>Certainly,</w:t>
      </w:r>
      <w:r w:rsidR="005236C8">
        <w:t xml:space="preserve"> to</w:t>
      </w:r>
      <w:r w:rsidRPr="005236C8">
        <w:t xml:space="preserve"> calculate the exact paging resource</w:t>
      </w:r>
      <w:r w:rsidRPr="00562812">
        <w:t xml:space="preserve"> </w:t>
      </w:r>
      <w:r w:rsidR="005236C8">
        <w:t xml:space="preserve">usages requires clear defined models for initial paging error models, UE mobility models, and a known </w:t>
      </w:r>
      <w:r w:rsidR="005236C8">
        <w:t xml:space="preserve">paging </w:t>
      </w:r>
      <w:r w:rsidR="007A1322">
        <w:t>strategy</w:t>
      </w:r>
      <w:r w:rsidR="005236C8">
        <w:t xml:space="preserve"> of the network. Different paging </w:t>
      </w:r>
      <w:r w:rsidR="007A1322">
        <w:t xml:space="preserve">strategy </w:t>
      </w:r>
      <w:r w:rsidR="005236C8">
        <w:t xml:space="preserve">may </w:t>
      </w:r>
      <w:r w:rsidR="007A1322">
        <w:t>result</w:t>
      </w:r>
      <w:r w:rsidR="005236C8">
        <w:t xml:space="preserve"> in totally different resource usages for paging. Therefore, in order to simply the </w:t>
      </w:r>
      <w:r w:rsidR="007A1322">
        <w:t>calculation</w:t>
      </w:r>
      <w:r w:rsidR="005D0C16">
        <w:t xml:space="preserve">, in this </w:t>
      </w:r>
      <w:r w:rsidR="008445F5">
        <w:t xml:space="preserve">contribution we only </w:t>
      </w:r>
      <w:r w:rsidR="007A1322">
        <w:t>calculate</w:t>
      </w:r>
      <w:r w:rsidR="008445F5">
        <w:t xml:space="preserve"> the paging resource usage for the initial paging attempt, which is similar to </w:t>
      </w:r>
      <w:r w:rsidR="008445F5">
        <w:fldChar w:fldCharType="begin"/>
      </w:r>
      <w:r w:rsidR="008445F5">
        <w:instrText xml:space="preserve"> REF _Ref463027896 \r \h </w:instrText>
      </w:r>
      <w:r w:rsidR="008445F5">
        <w:fldChar w:fldCharType="separate"/>
      </w:r>
      <w:r w:rsidR="00FF1302">
        <w:t>[3]</w:t>
      </w:r>
      <w:r w:rsidR="008445F5">
        <w:fldChar w:fldCharType="end"/>
      </w:r>
      <w:r w:rsidR="008445F5">
        <w:t xml:space="preserve">. </w:t>
      </w:r>
    </w:p>
    <w:p w14:paraId="6BC1E082" w14:textId="2F51791D" w:rsidR="0066595C" w:rsidRPr="00562812" w:rsidRDefault="0066595C" w:rsidP="0066595C">
      <w:pPr>
        <w:pStyle w:val="BodyText"/>
        <w:ind w:left="1560" w:hanging="1560"/>
      </w:pPr>
      <w:r w:rsidRPr="00EF60FC">
        <w:rPr>
          <w:rFonts w:ascii="Times New Roman" w:hAnsi="Times New Roman"/>
          <w:b/>
          <w:bCs/>
          <w:i/>
        </w:rPr>
        <w:t xml:space="preserve">Observation </w:t>
      </w:r>
      <w:r>
        <w:rPr>
          <w:rFonts w:ascii="Times New Roman" w:hAnsi="Times New Roman"/>
          <w:b/>
          <w:bCs/>
          <w:i/>
        </w:rPr>
        <w:t>3</w:t>
      </w:r>
      <w:r w:rsidRPr="00EF60FC">
        <w:rPr>
          <w:rFonts w:ascii="Times New Roman" w:hAnsi="Times New Roman"/>
          <w:b/>
          <w:bCs/>
          <w:i/>
        </w:rPr>
        <w:tab/>
      </w:r>
      <w:r>
        <w:rPr>
          <w:rFonts w:ascii="Times New Roman" w:hAnsi="Times New Roman"/>
          <w:b/>
          <w:bCs/>
          <w:i/>
        </w:rPr>
        <w:t xml:space="preserve">In order to </w:t>
      </w:r>
      <w:r w:rsidR="007A1322">
        <w:rPr>
          <w:rFonts w:ascii="Times New Roman" w:hAnsi="Times New Roman"/>
          <w:b/>
          <w:bCs/>
          <w:i/>
        </w:rPr>
        <w:t>calculate</w:t>
      </w:r>
      <w:r>
        <w:rPr>
          <w:rFonts w:ascii="Times New Roman" w:hAnsi="Times New Roman"/>
          <w:b/>
          <w:bCs/>
          <w:i/>
        </w:rPr>
        <w:t xml:space="preserve"> the exact paging </w:t>
      </w:r>
      <w:r w:rsidR="007A1322">
        <w:rPr>
          <w:rFonts w:ascii="Times New Roman" w:hAnsi="Times New Roman"/>
          <w:b/>
          <w:bCs/>
          <w:i/>
        </w:rPr>
        <w:t>resource</w:t>
      </w:r>
      <w:r>
        <w:rPr>
          <w:rFonts w:ascii="Times New Roman" w:hAnsi="Times New Roman"/>
          <w:b/>
          <w:bCs/>
          <w:i/>
        </w:rPr>
        <w:t xml:space="preserve"> usage, error models, mobility models and a clearly defined paging </w:t>
      </w:r>
      <w:r w:rsidR="007A1322" w:rsidRPr="007A1322">
        <w:rPr>
          <w:rFonts w:ascii="Times New Roman" w:hAnsi="Times New Roman"/>
          <w:b/>
          <w:bCs/>
          <w:i/>
        </w:rPr>
        <w:t xml:space="preserve">strategy </w:t>
      </w:r>
      <w:r>
        <w:rPr>
          <w:rFonts w:ascii="Times New Roman" w:hAnsi="Times New Roman"/>
          <w:b/>
          <w:bCs/>
          <w:i/>
        </w:rPr>
        <w:t xml:space="preserve">are needed. </w:t>
      </w:r>
    </w:p>
    <w:p w14:paraId="7F913F03" w14:textId="77777777" w:rsidR="00001B38" w:rsidRDefault="00C24B53" w:rsidP="00001B38">
      <w:pPr>
        <w:pStyle w:val="Heading1"/>
      </w:pPr>
      <w:r>
        <w:t xml:space="preserve">Calculation of the resource for paging </w:t>
      </w:r>
    </w:p>
    <w:p w14:paraId="022B52ED" w14:textId="77777777" w:rsidR="00C24B53" w:rsidRDefault="00C24B53" w:rsidP="00C24B53">
      <w:pPr>
        <w:pStyle w:val="Heading2"/>
      </w:pPr>
      <w:r>
        <w:t>UE distribution</w:t>
      </w:r>
    </w:p>
    <w:p w14:paraId="5318F2E3" w14:textId="28F84C12" w:rsidR="00C24B53" w:rsidRPr="00C24B53" w:rsidRDefault="00C24B53" w:rsidP="00C24B53">
      <w:pPr>
        <w:rPr>
          <w:b/>
        </w:rPr>
      </w:pPr>
      <w:r>
        <w:t>According to</w:t>
      </w:r>
      <w:r w:rsidR="008624A0">
        <w:t xml:space="preserve"> Annex D of TR45.820, we plot the coupling loss distribution in </w:t>
      </w:r>
      <w:r w:rsidR="008624A0">
        <w:fldChar w:fldCharType="begin"/>
      </w:r>
      <w:r w:rsidR="008624A0">
        <w:instrText xml:space="preserve"> REF _Ref462316973 \h </w:instrText>
      </w:r>
      <w:r w:rsidR="008624A0">
        <w:fldChar w:fldCharType="separate"/>
      </w:r>
      <w:r w:rsidR="00FF1302">
        <w:t xml:space="preserve">Figure </w:t>
      </w:r>
      <w:r w:rsidR="00FF1302">
        <w:rPr>
          <w:noProof/>
        </w:rPr>
        <w:t>1</w:t>
      </w:r>
      <w:r w:rsidR="008624A0">
        <w:fldChar w:fldCharType="end"/>
      </w:r>
      <w:r w:rsidR="008624A0">
        <w:t xml:space="preserve">. As we can see from the figure, even for the worst case we have 88.3% UEs are with MCL less than 144 dB, and 8.9% UEs are have an MCL between 144 dB and 154 dB, and 2.8% UEs have an MCL larger than 154 dB. </w:t>
      </w:r>
    </w:p>
    <w:p w14:paraId="686D88F4" w14:textId="77777777" w:rsidR="008624A0" w:rsidRDefault="00C24B53" w:rsidP="008624A0">
      <w:pPr>
        <w:keepNext/>
        <w:jc w:val="center"/>
      </w:pPr>
      <w:r>
        <w:rPr>
          <w:noProof/>
          <w:lang w:val="sv-SE"/>
        </w:rPr>
        <w:drawing>
          <wp:inline distT="0" distB="0" distL="0" distR="0" wp14:anchorId="72CDD257" wp14:editId="65EFABBF">
            <wp:extent cx="3729990" cy="327720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a:extLst>
                        <a:ext uri="{28A0092B-C50C-407E-A947-70E740481C1C}">
                          <a14:useLocalDpi xmlns:a14="http://schemas.microsoft.com/office/drawing/2010/main" val="0"/>
                        </a:ext>
                      </a:extLst>
                    </a:blip>
                    <a:srcRect l="4198" t="5822" r="6587" b="993"/>
                    <a:stretch/>
                  </pic:blipFill>
                  <pic:spPr bwMode="auto">
                    <a:xfrm>
                      <a:off x="0" y="0"/>
                      <a:ext cx="3731048" cy="3278139"/>
                    </a:xfrm>
                    <a:prstGeom prst="rect">
                      <a:avLst/>
                    </a:prstGeom>
                    <a:noFill/>
                    <a:ln>
                      <a:noFill/>
                    </a:ln>
                    <a:extLst>
                      <a:ext uri="{53640926-AAD7-44D8-BBD7-CCE9431645EC}">
                        <a14:shadowObscured xmlns:a14="http://schemas.microsoft.com/office/drawing/2010/main"/>
                      </a:ext>
                    </a:extLst>
                  </pic:spPr>
                </pic:pic>
              </a:graphicData>
            </a:graphic>
          </wp:inline>
        </w:drawing>
      </w:r>
    </w:p>
    <w:p w14:paraId="7F2ACF6C" w14:textId="38679504" w:rsidR="00C24B53" w:rsidRDefault="008624A0" w:rsidP="008624A0">
      <w:pPr>
        <w:pStyle w:val="Caption"/>
      </w:pPr>
      <w:bookmarkStart w:id="0" w:name="_Ref462316973"/>
      <w:r>
        <w:t xml:space="preserve">Figure </w:t>
      </w:r>
      <w:r>
        <w:fldChar w:fldCharType="begin"/>
      </w:r>
      <w:r>
        <w:instrText xml:space="preserve"> SEQ Figur \* ARABIC </w:instrText>
      </w:r>
      <w:r>
        <w:fldChar w:fldCharType="separate"/>
      </w:r>
      <w:r w:rsidR="00FF1302">
        <w:rPr>
          <w:noProof/>
        </w:rPr>
        <w:t>1</w:t>
      </w:r>
      <w:r>
        <w:fldChar w:fldCharType="end"/>
      </w:r>
      <w:bookmarkEnd w:id="0"/>
      <w:r>
        <w:t xml:space="preserve"> Coupling loss distributions</w:t>
      </w:r>
    </w:p>
    <w:p w14:paraId="265A13B6" w14:textId="1821A315" w:rsidR="008624A0" w:rsidRDefault="008624A0" w:rsidP="008624A0">
      <w:r>
        <w:lastRenderedPageBreak/>
        <w:t xml:space="preserve">It is worth mentioning that the coupling loss distribution in </w:t>
      </w:r>
      <w:r>
        <w:fldChar w:fldCharType="begin"/>
      </w:r>
      <w:r>
        <w:instrText xml:space="preserve"> REF _Ref462316973 \h  \* MERGEFORMAT </w:instrText>
      </w:r>
      <w:r>
        <w:fldChar w:fldCharType="separate"/>
      </w:r>
      <w:r w:rsidR="00FF1302">
        <w:t xml:space="preserve">Figure </w:t>
      </w:r>
      <w:r w:rsidR="00FF1302">
        <w:rPr>
          <w:noProof/>
        </w:rPr>
        <w:t>1</w:t>
      </w:r>
      <w:r>
        <w:fldChar w:fldCharType="end"/>
      </w:r>
      <w:r>
        <w:t xml:space="preserve"> is obtained assuming an inter-site distance (ISD) of 1732 meters. For inband deployment much smaller ISD can be expected in practical networks. Hence more UEs would be in good coverage.  For IoT applications, e.g., metering reporting, the devices can be assumed to be stationary, and therefore the UE distribution can be known at the network, at least in a semi-static manner. Therefore, when calculating the paging resource, the UE distribution information cannot be ignored. </w:t>
      </w:r>
    </w:p>
    <w:p w14:paraId="24C13B69" w14:textId="4CCA6FCC" w:rsidR="008624A0" w:rsidRDefault="008624A0" w:rsidP="0081313C">
      <w:pPr>
        <w:ind w:left="1560" w:hanging="1560"/>
      </w:pPr>
      <w:r w:rsidRPr="00EF60FC">
        <w:rPr>
          <w:rFonts w:ascii="Times New Roman" w:hAnsi="Times New Roman"/>
          <w:b/>
          <w:bCs/>
          <w:i/>
        </w:rPr>
        <w:t xml:space="preserve">Observation </w:t>
      </w:r>
      <w:r w:rsidR="0066595C">
        <w:rPr>
          <w:rFonts w:ascii="Times New Roman" w:hAnsi="Times New Roman"/>
          <w:b/>
          <w:bCs/>
          <w:i/>
        </w:rPr>
        <w:t>4</w:t>
      </w:r>
      <w:r w:rsidRPr="00EF60FC">
        <w:rPr>
          <w:rFonts w:ascii="Times New Roman" w:hAnsi="Times New Roman"/>
          <w:b/>
          <w:bCs/>
          <w:i/>
        </w:rPr>
        <w:tab/>
      </w:r>
      <w:r w:rsidR="009A3E7D">
        <w:rPr>
          <w:rFonts w:ascii="Times New Roman" w:hAnsi="Times New Roman"/>
          <w:b/>
          <w:bCs/>
          <w:i/>
        </w:rPr>
        <w:t xml:space="preserve">Due </w:t>
      </w:r>
      <w:r w:rsidR="0066595C">
        <w:rPr>
          <w:rFonts w:ascii="Times New Roman" w:hAnsi="Times New Roman"/>
          <w:b/>
          <w:bCs/>
          <w:i/>
        </w:rPr>
        <w:t xml:space="preserve">to </w:t>
      </w:r>
      <w:r w:rsidR="009A3E7D">
        <w:rPr>
          <w:rFonts w:ascii="Times New Roman" w:hAnsi="Times New Roman"/>
          <w:b/>
          <w:bCs/>
          <w:i/>
        </w:rPr>
        <w:t>the UE distribu</w:t>
      </w:r>
      <w:r w:rsidR="008445F5">
        <w:rPr>
          <w:rFonts w:ascii="Times New Roman" w:hAnsi="Times New Roman"/>
          <w:b/>
          <w:bCs/>
          <w:i/>
        </w:rPr>
        <w:t xml:space="preserve">tion and coverage </w:t>
      </w:r>
      <w:r w:rsidR="00305FE7">
        <w:rPr>
          <w:rFonts w:ascii="Times New Roman" w:hAnsi="Times New Roman"/>
          <w:b/>
          <w:bCs/>
          <w:i/>
        </w:rPr>
        <w:t>statistics</w:t>
      </w:r>
      <w:r w:rsidR="008445F5">
        <w:rPr>
          <w:rFonts w:ascii="Times New Roman" w:hAnsi="Times New Roman"/>
          <w:b/>
          <w:bCs/>
          <w:i/>
        </w:rPr>
        <w:t xml:space="preserve"> are</w:t>
      </w:r>
      <w:r w:rsidR="009A3E7D">
        <w:rPr>
          <w:rFonts w:ascii="Times New Roman" w:hAnsi="Times New Roman"/>
          <w:b/>
          <w:bCs/>
          <w:i/>
        </w:rPr>
        <w:t xml:space="preserve"> known at the network, when </w:t>
      </w:r>
      <w:r w:rsidR="009A3E7D" w:rsidRPr="008445F5">
        <w:rPr>
          <w:rFonts w:ascii="Times New Roman" w:hAnsi="Times New Roman"/>
          <w:b/>
          <w:bCs/>
          <w:i/>
        </w:rPr>
        <w:t xml:space="preserve">calculating </w:t>
      </w:r>
      <w:r w:rsidR="009A3E7D" w:rsidRPr="009A3E7D">
        <w:rPr>
          <w:rFonts w:ascii="Times New Roman" w:hAnsi="Times New Roman"/>
          <w:b/>
          <w:bCs/>
          <w:i/>
        </w:rPr>
        <w:t>the paging resource, the UE distribution information cannot be ignored.</w:t>
      </w:r>
      <w:r w:rsidR="009A3E7D">
        <w:t xml:space="preserve"> </w:t>
      </w:r>
      <w:r w:rsidR="009A3E7D">
        <w:rPr>
          <w:rFonts w:ascii="Times New Roman" w:hAnsi="Times New Roman"/>
          <w:b/>
          <w:bCs/>
          <w:i/>
        </w:rPr>
        <w:t xml:space="preserve"> </w:t>
      </w:r>
      <w:r>
        <w:rPr>
          <w:rFonts w:ascii="Times New Roman" w:hAnsi="Times New Roman"/>
          <w:b/>
          <w:bCs/>
          <w:i/>
        </w:rPr>
        <w:t xml:space="preserve">  </w:t>
      </w:r>
    </w:p>
    <w:p w14:paraId="4AD98B28" w14:textId="48C00EC6" w:rsidR="009A3E7D" w:rsidRDefault="009A3E7D" w:rsidP="009A3E7D">
      <w:pPr>
        <w:pStyle w:val="Heading2"/>
      </w:pPr>
      <w:r>
        <w:t>L</w:t>
      </w:r>
      <w:r w:rsidR="008445F5">
        <w:t>ink level simulation results</w:t>
      </w:r>
      <w:r>
        <w:t xml:space="preserve"> for NPDCCH and NPDSCH</w:t>
      </w:r>
    </w:p>
    <w:p w14:paraId="514527E9" w14:textId="60142DCD" w:rsidR="008624A0" w:rsidRDefault="009A3E7D" w:rsidP="00781B43">
      <w:r>
        <w:t xml:space="preserve">In this paper, we follow the same simulation setup, i.e., </w:t>
      </w:r>
      <w:r w:rsidRPr="009A3E7D">
        <w:t>transmit power of 35 dBm i</w:t>
      </w:r>
      <w:r>
        <w:t>s assumed for in</w:t>
      </w:r>
      <w:r w:rsidRPr="009A3E7D">
        <w:t xml:space="preserve">band/guard band operation and 43 dBm for </w:t>
      </w:r>
      <w:r w:rsidR="004126B4">
        <w:t>standalone operation. More</w:t>
      </w:r>
      <w:r>
        <w:t>over</w:t>
      </w:r>
      <w:r w:rsidR="004126B4">
        <w:t>, the over</w:t>
      </w:r>
      <w:r>
        <w:t>head assumption for inband deployment</w:t>
      </w:r>
      <w:r w:rsidR="004126B4">
        <w:t xml:space="preserve"> is that</w:t>
      </w:r>
      <w:r>
        <w:t xml:space="preserve"> </w:t>
      </w:r>
      <w:r w:rsidRPr="008445F5">
        <w:t xml:space="preserve">the first three OFDM symbols and some REs reserved for LTE PDCCH and CRS for in-band operation. </w:t>
      </w:r>
      <w:r w:rsidR="00781B43" w:rsidRPr="008445F5">
        <w:t xml:space="preserve">In order to have a fair comparison, we re-use the link level simulation results given in </w:t>
      </w:r>
      <w:r w:rsidR="008445F5" w:rsidRPr="008445F5">
        <w:fldChar w:fldCharType="begin"/>
      </w:r>
      <w:r w:rsidR="008445F5" w:rsidRPr="008445F5">
        <w:instrText xml:space="preserve"> REF _Ref463027896 \r \h </w:instrText>
      </w:r>
      <w:r w:rsidR="008445F5">
        <w:instrText xml:space="preserve"> \* MERGEFORMAT </w:instrText>
      </w:r>
      <w:r w:rsidR="008445F5" w:rsidRPr="008445F5">
        <w:fldChar w:fldCharType="separate"/>
      </w:r>
      <w:r w:rsidR="00FF1302">
        <w:t>[3]</w:t>
      </w:r>
      <w:r w:rsidR="008445F5" w:rsidRPr="008445F5">
        <w:fldChar w:fldCharType="end"/>
      </w:r>
      <w:r w:rsidR="00781B43" w:rsidRPr="008445F5">
        <w:t xml:space="preserve"> </w:t>
      </w:r>
      <w:r w:rsidR="0051757A" w:rsidRPr="008445F5">
        <w:t xml:space="preserve">with a small correction </w:t>
      </w:r>
      <w:r w:rsidR="00781B43" w:rsidRPr="008445F5">
        <w:t>for the 154 dB and 164 dB coupling loss</w:t>
      </w:r>
      <w:r w:rsidR="001C52BA" w:rsidRPr="008445F5">
        <w:t xml:space="preserve"> cases</w:t>
      </w:r>
      <w:r w:rsidR="00781B43" w:rsidRPr="008445F5">
        <w:t xml:space="preserve">, and add the coupling loss for the case of 144 dB cases. The results are </w:t>
      </w:r>
      <w:r w:rsidR="00C40208" w:rsidRPr="008445F5">
        <w:t>summarized</w:t>
      </w:r>
      <w:r w:rsidR="00781B43" w:rsidRPr="008445F5">
        <w:t xml:space="preserve"> in </w:t>
      </w:r>
      <w:r w:rsidR="008445F5" w:rsidRPr="008445F5">
        <w:fldChar w:fldCharType="begin"/>
      </w:r>
      <w:r w:rsidR="008445F5" w:rsidRPr="008445F5">
        <w:instrText xml:space="preserve"> REF _Ref457640214 \h </w:instrText>
      </w:r>
      <w:r w:rsidR="008445F5" w:rsidRPr="008445F5">
        <w:instrText xml:space="preserve"> \* MERGEFORMAT </w:instrText>
      </w:r>
      <w:r w:rsidR="008445F5" w:rsidRPr="008445F5">
        <w:fldChar w:fldCharType="separate"/>
      </w:r>
      <w:r w:rsidR="00FF1302" w:rsidRPr="00FF1302">
        <w:t>Table 1</w:t>
      </w:r>
      <w:r w:rsidR="008445F5" w:rsidRPr="008445F5">
        <w:fldChar w:fldCharType="end"/>
      </w:r>
      <w:r w:rsidR="008445F5" w:rsidRPr="008445F5">
        <w:t xml:space="preserve">, </w:t>
      </w:r>
      <w:r w:rsidR="008445F5" w:rsidRPr="008445F5">
        <w:fldChar w:fldCharType="begin"/>
      </w:r>
      <w:r w:rsidR="008445F5" w:rsidRPr="008445F5">
        <w:instrText xml:space="preserve"> REF _Ref463029892 \h </w:instrText>
      </w:r>
      <w:r w:rsidR="008445F5" w:rsidRPr="008445F5">
        <w:instrText xml:space="preserve"> \* MERGEFORMAT </w:instrText>
      </w:r>
      <w:r w:rsidR="008445F5" w:rsidRPr="008445F5">
        <w:fldChar w:fldCharType="separate"/>
      </w:r>
      <w:r w:rsidR="00FF1302" w:rsidRPr="00FF1302">
        <w:t>Table 2</w:t>
      </w:r>
      <w:r w:rsidR="008445F5" w:rsidRPr="008445F5">
        <w:fldChar w:fldCharType="end"/>
      </w:r>
      <w:r w:rsidR="008445F5" w:rsidRPr="008445F5">
        <w:t xml:space="preserve">, and </w:t>
      </w:r>
      <w:r w:rsidR="008445F5" w:rsidRPr="008445F5">
        <w:fldChar w:fldCharType="begin"/>
      </w:r>
      <w:r w:rsidR="008445F5" w:rsidRPr="008445F5">
        <w:instrText xml:space="preserve"> REF _Ref458431380 \h </w:instrText>
      </w:r>
      <w:r w:rsidR="008445F5" w:rsidRPr="008445F5">
        <w:instrText xml:space="preserve"> \* MERGEFORMAT </w:instrText>
      </w:r>
      <w:r w:rsidR="008445F5" w:rsidRPr="008445F5">
        <w:fldChar w:fldCharType="separate"/>
      </w:r>
      <w:r w:rsidR="00FF1302" w:rsidRPr="00FF1302">
        <w:t>Table 3</w:t>
      </w:r>
      <w:r w:rsidR="008445F5" w:rsidRPr="008445F5">
        <w:fldChar w:fldCharType="end"/>
      </w:r>
      <w:r w:rsidR="00781B43" w:rsidRPr="008445F5">
        <w:t xml:space="preserve">. </w:t>
      </w:r>
      <w:r>
        <w:t xml:space="preserve"> </w:t>
      </w:r>
    </w:p>
    <w:p w14:paraId="7DDF6921" w14:textId="112451EE" w:rsidR="001034AE" w:rsidRPr="00613B9F" w:rsidRDefault="001034AE" w:rsidP="001034AE">
      <w:pPr>
        <w:rPr>
          <w:rFonts w:eastAsia="SimSun"/>
          <w:kern w:val="2"/>
        </w:rPr>
      </w:pPr>
      <w:r>
        <w:t xml:space="preserve">Furthermore, we use the same assumption about the size of the paging message. That is </w:t>
      </w:r>
      <w:r>
        <w:rPr>
          <w:rFonts w:eastAsia="SimSun"/>
          <w:kern w:val="2"/>
        </w:rPr>
        <w:t>t</w:t>
      </w:r>
      <w:r w:rsidRPr="00613B9F">
        <w:rPr>
          <w:rFonts w:eastAsia="SimSun"/>
          <w:kern w:val="2"/>
        </w:rPr>
        <w:t>he length of the UE ID is 40 bits, which is assumed as the payload size of paging message per paged UE.</w:t>
      </w:r>
      <w:r>
        <w:rPr>
          <w:rFonts w:eastAsia="SimSun"/>
          <w:kern w:val="2"/>
        </w:rPr>
        <w:t xml:space="preserve"> </w:t>
      </w:r>
      <w:r w:rsidR="001B7A66">
        <w:rPr>
          <w:rFonts w:eastAsia="SimSun"/>
          <w:kern w:val="2"/>
        </w:rPr>
        <w:t xml:space="preserve">Both the worst case, i.e., a paging message carriers one UE ID and the best case, i.e., a paging message carriers 16 UE IDs are considered. </w:t>
      </w:r>
    </w:p>
    <w:p w14:paraId="77C56A1F" w14:textId="2158BA87" w:rsidR="001034AE" w:rsidRDefault="001034AE" w:rsidP="00781B43"/>
    <w:p w14:paraId="1936B3F6" w14:textId="51B2633C" w:rsidR="00781B43" w:rsidRPr="00781B43" w:rsidRDefault="00781B43" w:rsidP="00781B43">
      <w:pPr>
        <w:overflowPunct/>
        <w:snapToGrid w:val="0"/>
        <w:jc w:val="center"/>
        <w:textAlignment w:val="auto"/>
        <w:rPr>
          <w:rFonts w:ascii="Times New Roman" w:eastAsia="SimSun" w:hAnsi="Times New Roman"/>
          <w:b/>
          <w:bCs/>
          <w:kern w:val="2"/>
          <w:sz w:val="21"/>
          <w:szCs w:val="22"/>
          <w:lang w:val="en-US"/>
        </w:rPr>
      </w:pPr>
      <w:bookmarkStart w:id="1" w:name="_Ref457640214"/>
      <w:bookmarkStart w:id="2" w:name="_Ref463029865"/>
      <w:r w:rsidRPr="00781B43">
        <w:rPr>
          <w:rFonts w:ascii="Times New Roman" w:eastAsia="SimSun" w:hAnsi="Times New Roman"/>
          <w:b/>
          <w:bCs/>
          <w:kern w:val="2"/>
          <w:sz w:val="21"/>
          <w:szCs w:val="22"/>
          <w:lang w:val="en-US"/>
        </w:rPr>
        <w:t xml:space="preserve">Table </w:t>
      </w:r>
      <w:r w:rsidRPr="00781B43">
        <w:rPr>
          <w:rFonts w:ascii="Times New Roman" w:eastAsia="SimSun" w:hAnsi="Times New Roman"/>
          <w:b/>
          <w:bCs/>
          <w:kern w:val="2"/>
          <w:sz w:val="21"/>
          <w:szCs w:val="22"/>
          <w:lang w:val="en-US"/>
        </w:rPr>
        <w:fldChar w:fldCharType="begin"/>
      </w:r>
      <w:r w:rsidRPr="00781B43">
        <w:rPr>
          <w:rFonts w:ascii="Times New Roman" w:eastAsia="SimSun" w:hAnsi="Times New Roman"/>
          <w:b/>
          <w:bCs/>
          <w:kern w:val="2"/>
          <w:sz w:val="21"/>
          <w:szCs w:val="22"/>
          <w:lang w:val="en-US"/>
        </w:rPr>
        <w:instrText xml:space="preserve"> SEQ Table \* ARABIC </w:instrText>
      </w:r>
      <w:r w:rsidRPr="00781B43">
        <w:rPr>
          <w:rFonts w:ascii="Times New Roman" w:eastAsia="SimSun" w:hAnsi="Times New Roman"/>
          <w:b/>
          <w:bCs/>
          <w:kern w:val="2"/>
          <w:sz w:val="21"/>
          <w:szCs w:val="22"/>
          <w:lang w:val="en-US"/>
        </w:rPr>
        <w:fldChar w:fldCharType="separate"/>
      </w:r>
      <w:r w:rsidR="00FF1302">
        <w:rPr>
          <w:rFonts w:ascii="Times New Roman" w:eastAsia="SimSun" w:hAnsi="Times New Roman"/>
          <w:b/>
          <w:bCs/>
          <w:noProof/>
          <w:kern w:val="2"/>
          <w:sz w:val="21"/>
          <w:szCs w:val="22"/>
          <w:lang w:val="en-US"/>
        </w:rPr>
        <w:t>1</w:t>
      </w:r>
      <w:r w:rsidRPr="00781B43">
        <w:rPr>
          <w:rFonts w:ascii="Times New Roman" w:eastAsia="SimSun" w:hAnsi="Times New Roman"/>
          <w:b/>
          <w:bCs/>
          <w:kern w:val="2"/>
          <w:sz w:val="21"/>
          <w:szCs w:val="22"/>
          <w:lang w:val="en-US"/>
        </w:rPr>
        <w:fldChar w:fldCharType="end"/>
      </w:r>
      <w:bookmarkEnd w:id="1"/>
      <w:r w:rsidRPr="00781B43">
        <w:rPr>
          <w:rFonts w:ascii="Times New Roman" w:eastAsia="SimSun" w:hAnsi="Times New Roman"/>
          <w:b/>
          <w:bCs/>
          <w:kern w:val="2"/>
          <w:sz w:val="21"/>
          <w:szCs w:val="22"/>
          <w:lang w:val="en-US"/>
        </w:rPr>
        <w:t xml:space="preserve">  Resources per NPDCCH transmission</w:t>
      </w:r>
      <w:bookmarkEnd w:id="2"/>
    </w:p>
    <w:tbl>
      <w:tblPr>
        <w:tblStyle w:val="TableGrid1"/>
        <w:tblW w:w="9117" w:type="dxa"/>
        <w:jc w:val="center"/>
        <w:tblLook w:val="04A0" w:firstRow="1" w:lastRow="0" w:firstColumn="1" w:lastColumn="0" w:noHBand="0" w:noVBand="1"/>
      </w:tblPr>
      <w:tblGrid>
        <w:gridCol w:w="1258"/>
        <w:gridCol w:w="1965"/>
        <w:gridCol w:w="1823"/>
        <w:gridCol w:w="1247"/>
        <w:gridCol w:w="2824"/>
      </w:tblGrid>
      <w:tr w:rsidR="00781B43" w:rsidRPr="00781B43" w14:paraId="01CC3634" w14:textId="77777777" w:rsidTr="0051757A">
        <w:trPr>
          <w:trHeight w:val="479"/>
          <w:jc w:val="center"/>
        </w:trPr>
        <w:tc>
          <w:tcPr>
            <w:tcW w:w="1258" w:type="dxa"/>
            <w:vAlign w:val="center"/>
          </w:tcPr>
          <w:p w14:paraId="62A29944" w14:textId="77777777" w:rsidR="00781B43" w:rsidRPr="00781B43" w:rsidRDefault="00781B43"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Operation</w:t>
            </w:r>
          </w:p>
        </w:tc>
        <w:tc>
          <w:tcPr>
            <w:tcW w:w="1965" w:type="dxa"/>
            <w:vAlign w:val="center"/>
          </w:tcPr>
          <w:p w14:paraId="12DEA8B0" w14:textId="77777777" w:rsidR="00781B43" w:rsidRPr="00781B43" w:rsidRDefault="00781B43"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Coupling loss (</w:t>
            </w:r>
            <w:r w:rsidRPr="00781B43">
              <w:rPr>
                <w:rFonts w:ascii="Times New Roman" w:hAnsi="Times New Roman"/>
                <w:kern w:val="2"/>
                <w:lang w:val="en-US"/>
              </w:rPr>
              <w:t>dB</w:t>
            </w:r>
            <w:r w:rsidRPr="00781B43">
              <w:rPr>
                <w:rFonts w:ascii="Times New Roman" w:hAnsi="Times New Roman" w:hint="eastAsia"/>
                <w:kern w:val="2"/>
                <w:lang w:val="en-US"/>
              </w:rPr>
              <w:t>)</w:t>
            </w:r>
          </w:p>
        </w:tc>
        <w:tc>
          <w:tcPr>
            <w:tcW w:w="1823" w:type="dxa"/>
            <w:vAlign w:val="center"/>
          </w:tcPr>
          <w:p w14:paraId="02FA1965" w14:textId="0FF8F597" w:rsidR="00781B43" w:rsidRPr="00781B43" w:rsidRDefault="00781B43"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kern w:val="2"/>
                <w:lang w:val="en-US"/>
              </w:rPr>
              <w:t>NPDCCH Aggregation level</w:t>
            </w:r>
          </w:p>
        </w:tc>
        <w:tc>
          <w:tcPr>
            <w:tcW w:w="1247" w:type="dxa"/>
            <w:vAlign w:val="center"/>
          </w:tcPr>
          <w:p w14:paraId="4FACE6AC" w14:textId="77777777" w:rsidR="00781B43" w:rsidRPr="00781B43" w:rsidRDefault="00781B43"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kern w:val="2"/>
                <w:lang w:val="en-US"/>
              </w:rPr>
              <w:t>Repetitions</w:t>
            </w:r>
          </w:p>
        </w:tc>
        <w:tc>
          <w:tcPr>
            <w:tcW w:w="2823" w:type="dxa"/>
            <w:vAlign w:val="center"/>
          </w:tcPr>
          <w:p w14:paraId="371A2A0E" w14:textId="77777777" w:rsidR="00781B43" w:rsidRPr="00781B43" w:rsidRDefault="00781B43"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kern w:val="2"/>
                <w:lang w:val="en-US"/>
              </w:rPr>
              <w:t>Resources used</w:t>
            </w:r>
          </w:p>
        </w:tc>
      </w:tr>
      <w:tr w:rsidR="00FA5F8C" w:rsidRPr="00781B43" w14:paraId="18F29B1C" w14:textId="77777777" w:rsidTr="0051757A">
        <w:trPr>
          <w:trHeight w:val="238"/>
          <w:jc w:val="center"/>
        </w:trPr>
        <w:tc>
          <w:tcPr>
            <w:tcW w:w="1258" w:type="dxa"/>
            <w:vMerge w:val="restart"/>
            <w:vAlign w:val="center"/>
          </w:tcPr>
          <w:p w14:paraId="068F15B5" w14:textId="00F6B368" w:rsidR="00FA5F8C" w:rsidRPr="00781B43" w:rsidRDefault="00FA5F8C" w:rsidP="00781B43">
            <w:pPr>
              <w:snapToGrid w:val="0"/>
              <w:spacing w:after="0"/>
              <w:rPr>
                <w:rFonts w:ascii="Times New Roman" w:hAnsi="Times New Roman"/>
                <w:kern w:val="2"/>
                <w:lang w:val="en-US"/>
              </w:rPr>
            </w:pPr>
            <w:r w:rsidRPr="00781B43">
              <w:rPr>
                <w:rFonts w:ascii="Times New Roman" w:hAnsi="Times New Roman" w:hint="eastAsia"/>
                <w:kern w:val="2"/>
                <w:lang w:val="en-US"/>
              </w:rPr>
              <w:t>In-band</w:t>
            </w:r>
          </w:p>
        </w:tc>
        <w:tc>
          <w:tcPr>
            <w:tcW w:w="1965" w:type="dxa"/>
            <w:vAlign w:val="center"/>
          </w:tcPr>
          <w:p w14:paraId="3A407F3F" w14:textId="7947D1A9"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144</w:t>
            </w:r>
          </w:p>
        </w:tc>
        <w:tc>
          <w:tcPr>
            <w:tcW w:w="1823" w:type="dxa"/>
            <w:vAlign w:val="center"/>
          </w:tcPr>
          <w:p w14:paraId="575E5A18" w14:textId="45BE90B1"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2</w:t>
            </w:r>
          </w:p>
        </w:tc>
        <w:tc>
          <w:tcPr>
            <w:tcW w:w="1247" w:type="dxa"/>
            <w:vAlign w:val="center"/>
          </w:tcPr>
          <w:p w14:paraId="59B32C20" w14:textId="16DF8E7B"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4</w:t>
            </w:r>
          </w:p>
        </w:tc>
        <w:tc>
          <w:tcPr>
            <w:tcW w:w="2823" w:type="dxa"/>
            <w:vAlign w:val="center"/>
          </w:tcPr>
          <w:p w14:paraId="49B0A68F" w14:textId="0CFAD8A0" w:rsidR="00FA5F8C" w:rsidRPr="00781B43" w:rsidRDefault="00FA5F8C" w:rsidP="00FA5F8C">
            <w:pPr>
              <w:overflowPunct/>
              <w:snapToGrid w:val="0"/>
              <w:spacing w:after="0"/>
              <w:jc w:val="center"/>
              <w:textAlignment w:val="auto"/>
              <w:rPr>
                <w:rFonts w:ascii="Times New Roman" w:hAnsi="Times New Roman"/>
                <w:kern w:val="2"/>
                <w:lang w:val="en-US"/>
              </w:rPr>
            </w:pPr>
            <w:r w:rsidRPr="00781B43">
              <w:rPr>
                <w:rFonts w:ascii="Times New Roman" w:hAnsi="Times New Roman"/>
                <w:kern w:val="2"/>
                <w:lang w:val="en-US"/>
              </w:rPr>
              <w:t xml:space="preserve">12 subcarriers, </w:t>
            </w:r>
            <w:r>
              <w:rPr>
                <w:rFonts w:ascii="Times New Roman" w:hAnsi="Times New Roman"/>
                <w:kern w:val="2"/>
                <w:lang w:val="en-US"/>
              </w:rPr>
              <w:t>4</w:t>
            </w:r>
            <w:r w:rsidRPr="00781B43">
              <w:rPr>
                <w:rFonts w:ascii="Times New Roman" w:hAnsi="Times New Roman"/>
                <w:kern w:val="2"/>
                <w:lang w:val="en-US"/>
              </w:rPr>
              <w:t xml:space="preserve"> subframes</w:t>
            </w:r>
          </w:p>
        </w:tc>
      </w:tr>
      <w:tr w:rsidR="00FA5F8C" w:rsidRPr="00781B43" w14:paraId="3FCAB444" w14:textId="77777777" w:rsidTr="0051757A">
        <w:trPr>
          <w:trHeight w:val="238"/>
          <w:jc w:val="center"/>
        </w:trPr>
        <w:tc>
          <w:tcPr>
            <w:tcW w:w="1258" w:type="dxa"/>
            <w:vMerge/>
            <w:vAlign w:val="center"/>
          </w:tcPr>
          <w:p w14:paraId="12481793" w14:textId="26F786AF" w:rsidR="00FA5F8C" w:rsidRPr="00781B43" w:rsidRDefault="00FA5F8C" w:rsidP="00781B43">
            <w:pPr>
              <w:overflowPunct/>
              <w:snapToGrid w:val="0"/>
              <w:spacing w:after="0"/>
              <w:textAlignment w:val="auto"/>
              <w:rPr>
                <w:rFonts w:ascii="Times New Roman" w:hAnsi="Times New Roman"/>
                <w:kern w:val="2"/>
                <w:lang w:val="en-US"/>
              </w:rPr>
            </w:pPr>
          </w:p>
        </w:tc>
        <w:tc>
          <w:tcPr>
            <w:tcW w:w="1965" w:type="dxa"/>
            <w:vAlign w:val="center"/>
          </w:tcPr>
          <w:p w14:paraId="72BD1C19" w14:textId="77777777"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154</w:t>
            </w:r>
          </w:p>
        </w:tc>
        <w:tc>
          <w:tcPr>
            <w:tcW w:w="1823" w:type="dxa"/>
            <w:vAlign w:val="center"/>
          </w:tcPr>
          <w:p w14:paraId="5BEBD6AD" w14:textId="468B662B"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2</w:t>
            </w:r>
          </w:p>
        </w:tc>
        <w:tc>
          <w:tcPr>
            <w:tcW w:w="1247" w:type="dxa"/>
            <w:vAlign w:val="center"/>
          </w:tcPr>
          <w:p w14:paraId="0197A4C3" w14:textId="77777777"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8</w:t>
            </w:r>
          </w:p>
        </w:tc>
        <w:tc>
          <w:tcPr>
            <w:tcW w:w="2823" w:type="dxa"/>
            <w:vAlign w:val="center"/>
          </w:tcPr>
          <w:p w14:paraId="31986E42" w14:textId="77777777" w:rsidR="00FA5F8C" w:rsidRPr="00781B43" w:rsidRDefault="00FA5F8C" w:rsidP="00FA5F8C">
            <w:pPr>
              <w:overflowPunct/>
              <w:snapToGrid w:val="0"/>
              <w:spacing w:after="0"/>
              <w:jc w:val="center"/>
              <w:textAlignment w:val="auto"/>
              <w:rPr>
                <w:rFonts w:ascii="Times New Roman" w:hAnsi="Times New Roman"/>
                <w:kern w:val="2"/>
                <w:lang w:val="en-US"/>
              </w:rPr>
            </w:pPr>
            <w:r w:rsidRPr="00781B43">
              <w:rPr>
                <w:rFonts w:ascii="Times New Roman" w:hAnsi="Times New Roman"/>
                <w:kern w:val="2"/>
                <w:lang w:val="en-US"/>
              </w:rPr>
              <w:t>12 subcarriers, 8 subframes</w:t>
            </w:r>
          </w:p>
        </w:tc>
      </w:tr>
      <w:tr w:rsidR="00FA5F8C" w:rsidRPr="00781B43" w14:paraId="58CA9B09" w14:textId="77777777" w:rsidTr="0051757A">
        <w:trPr>
          <w:trHeight w:val="251"/>
          <w:jc w:val="center"/>
        </w:trPr>
        <w:tc>
          <w:tcPr>
            <w:tcW w:w="1258" w:type="dxa"/>
            <w:vMerge/>
            <w:vAlign w:val="center"/>
          </w:tcPr>
          <w:p w14:paraId="5E727552" w14:textId="77777777" w:rsidR="00FA5F8C" w:rsidRPr="00781B43" w:rsidRDefault="00FA5F8C" w:rsidP="00781B43">
            <w:pPr>
              <w:overflowPunct/>
              <w:snapToGrid w:val="0"/>
              <w:spacing w:after="0"/>
              <w:textAlignment w:val="auto"/>
              <w:rPr>
                <w:rFonts w:ascii="Times New Roman" w:hAnsi="Times New Roman"/>
                <w:kern w:val="2"/>
                <w:lang w:val="en-US"/>
              </w:rPr>
            </w:pPr>
          </w:p>
        </w:tc>
        <w:tc>
          <w:tcPr>
            <w:tcW w:w="1965" w:type="dxa"/>
            <w:vAlign w:val="center"/>
          </w:tcPr>
          <w:p w14:paraId="680BC06D" w14:textId="77777777"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164</w:t>
            </w:r>
          </w:p>
        </w:tc>
        <w:tc>
          <w:tcPr>
            <w:tcW w:w="1823" w:type="dxa"/>
            <w:vAlign w:val="center"/>
          </w:tcPr>
          <w:p w14:paraId="25E1F62F" w14:textId="564780E1"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2</w:t>
            </w:r>
          </w:p>
        </w:tc>
        <w:tc>
          <w:tcPr>
            <w:tcW w:w="1247" w:type="dxa"/>
            <w:vAlign w:val="center"/>
          </w:tcPr>
          <w:p w14:paraId="68AE21B8" w14:textId="77777777"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128</w:t>
            </w:r>
          </w:p>
        </w:tc>
        <w:tc>
          <w:tcPr>
            <w:tcW w:w="2823" w:type="dxa"/>
            <w:vAlign w:val="center"/>
          </w:tcPr>
          <w:p w14:paraId="7B5075F8" w14:textId="77777777" w:rsidR="00FA5F8C" w:rsidRPr="00781B43" w:rsidRDefault="00FA5F8C" w:rsidP="00FA5F8C">
            <w:pPr>
              <w:overflowPunct/>
              <w:snapToGrid w:val="0"/>
              <w:spacing w:after="0"/>
              <w:jc w:val="center"/>
              <w:textAlignment w:val="auto"/>
              <w:rPr>
                <w:rFonts w:ascii="Times New Roman" w:hAnsi="Times New Roman"/>
                <w:kern w:val="2"/>
                <w:lang w:val="en-US"/>
              </w:rPr>
            </w:pPr>
            <w:r w:rsidRPr="00781B43">
              <w:rPr>
                <w:rFonts w:ascii="Times New Roman" w:hAnsi="Times New Roman"/>
                <w:kern w:val="2"/>
                <w:lang w:val="en-US"/>
              </w:rPr>
              <w:t>12 subcarriers, 128 subframes</w:t>
            </w:r>
          </w:p>
        </w:tc>
      </w:tr>
      <w:tr w:rsidR="00FA5F8C" w:rsidRPr="00781B43" w14:paraId="3CCC0414" w14:textId="77777777" w:rsidTr="0051757A">
        <w:trPr>
          <w:trHeight w:val="479"/>
          <w:jc w:val="center"/>
        </w:trPr>
        <w:tc>
          <w:tcPr>
            <w:tcW w:w="1258" w:type="dxa"/>
            <w:vMerge w:val="restart"/>
            <w:vAlign w:val="center"/>
          </w:tcPr>
          <w:p w14:paraId="4742EB52" w14:textId="60DF2DF3" w:rsidR="00FA5F8C" w:rsidRPr="00781B43" w:rsidRDefault="00FA5F8C" w:rsidP="00781B43">
            <w:pPr>
              <w:snapToGrid w:val="0"/>
              <w:spacing w:after="0"/>
              <w:rPr>
                <w:rFonts w:ascii="Times New Roman" w:hAnsi="Times New Roman"/>
                <w:kern w:val="2"/>
                <w:lang w:val="en-US"/>
              </w:rPr>
            </w:pPr>
            <w:r w:rsidRPr="00781B43">
              <w:rPr>
                <w:rFonts w:ascii="Times New Roman" w:hAnsi="Times New Roman" w:hint="eastAsia"/>
                <w:kern w:val="2"/>
                <w:lang w:val="en-US"/>
              </w:rPr>
              <w:t>Standalone</w:t>
            </w:r>
          </w:p>
        </w:tc>
        <w:tc>
          <w:tcPr>
            <w:tcW w:w="1965" w:type="dxa"/>
            <w:vAlign w:val="center"/>
          </w:tcPr>
          <w:p w14:paraId="6D4A7BE2" w14:textId="0445A4A6"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144</w:t>
            </w:r>
          </w:p>
        </w:tc>
        <w:tc>
          <w:tcPr>
            <w:tcW w:w="1823" w:type="dxa"/>
            <w:vAlign w:val="center"/>
          </w:tcPr>
          <w:p w14:paraId="5D7F77CC" w14:textId="23935F1D" w:rsidR="00FA5F8C" w:rsidRPr="00781B43" w:rsidRDefault="0012752F"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2</w:t>
            </w:r>
          </w:p>
        </w:tc>
        <w:tc>
          <w:tcPr>
            <w:tcW w:w="1247" w:type="dxa"/>
            <w:vAlign w:val="center"/>
          </w:tcPr>
          <w:p w14:paraId="7E23C01F" w14:textId="1E5B18FE"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w:t>
            </w:r>
          </w:p>
        </w:tc>
        <w:tc>
          <w:tcPr>
            <w:tcW w:w="2823" w:type="dxa"/>
            <w:vAlign w:val="center"/>
          </w:tcPr>
          <w:p w14:paraId="3C8E5E7F" w14:textId="2C374107" w:rsidR="00FA5F8C" w:rsidRPr="00781B43" w:rsidRDefault="0012752F" w:rsidP="00FA5F8C">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12</w:t>
            </w:r>
            <w:r w:rsidR="00FA5F8C" w:rsidRPr="00781B43">
              <w:rPr>
                <w:rFonts w:ascii="Times New Roman" w:hAnsi="Times New Roman"/>
                <w:kern w:val="2"/>
                <w:lang w:val="en-US"/>
              </w:rPr>
              <w:t xml:space="preserve"> subcarriers, 1 subframes</w:t>
            </w:r>
            <w:r>
              <w:rPr>
                <w:rFonts w:ascii="Times New Roman" w:hAnsi="Times New Roman"/>
                <w:kern w:val="2"/>
                <w:lang w:val="en-US"/>
              </w:rPr>
              <w:t xml:space="preserve"> </w:t>
            </w:r>
          </w:p>
        </w:tc>
      </w:tr>
      <w:tr w:rsidR="00FA5F8C" w:rsidRPr="00781B43" w14:paraId="425C3142" w14:textId="77777777" w:rsidTr="0051757A">
        <w:trPr>
          <w:trHeight w:val="491"/>
          <w:jc w:val="center"/>
        </w:trPr>
        <w:tc>
          <w:tcPr>
            <w:tcW w:w="1258" w:type="dxa"/>
            <w:vMerge/>
            <w:vAlign w:val="center"/>
          </w:tcPr>
          <w:p w14:paraId="6FAA907E" w14:textId="7D19C673" w:rsidR="00FA5F8C" w:rsidRPr="00781B43" w:rsidRDefault="00FA5F8C" w:rsidP="00781B43">
            <w:pPr>
              <w:overflowPunct/>
              <w:snapToGrid w:val="0"/>
              <w:spacing w:after="0"/>
              <w:textAlignment w:val="auto"/>
              <w:rPr>
                <w:rFonts w:ascii="Times New Roman" w:hAnsi="Times New Roman"/>
                <w:kern w:val="2"/>
                <w:lang w:val="en-US"/>
              </w:rPr>
            </w:pPr>
          </w:p>
        </w:tc>
        <w:tc>
          <w:tcPr>
            <w:tcW w:w="1965" w:type="dxa"/>
            <w:vAlign w:val="center"/>
          </w:tcPr>
          <w:p w14:paraId="7D762502" w14:textId="6D56F6A1"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154</w:t>
            </w:r>
            <w:r w:rsidR="0012752F">
              <w:rPr>
                <w:rFonts w:ascii="Times New Roman" w:hAnsi="Times New Roman"/>
                <w:kern w:val="2"/>
                <w:lang w:val="en-US"/>
              </w:rPr>
              <w:t xml:space="preserve"> (</w:t>
            </w:r>
            <w:r w:rsidR="0051757A">
              <w:rPr>
                <w:rFonts w:ascii="Times New Roman" w:hAnsi="Times New Roman"/>
                <w:kern w:val="2"/>
                <w:lang w:val="en-US"/>
              </w:rPr>
              <w:t>see Note 1</w:t>
            </w:r>
            <w:r w:rsidR="0012752F">
              <w:rPr>
                <w:rFonts w:ascii="Times New Roman" w:hAnsi="Times New Roman"/>
                <w:kern w:val="2"/>
                <w:lang w:val="en-US"/>
              </w:rPr>
              <w:t>)</w:t>
            </w:r>
          </w:p>
        </w:tc>
        <w:tc>
          <w:tcPr>
            <w:tcW w:w="1823" w:type="dxa"/>
            <w:vAlign w:val="center"/>
          </w:tcPr>
          <w:p w14:paraId="3876CC04" w14:textId="7347A217" w:rsidR="00FA5F8C" w:rsidRPr="00781B43" w:rsidRDefault="0012752F"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2</w:t>
            </w:r>
          </w:p>
        </w:tc>
        <w:tc>
          <w:tcPr>
            <w:tcW w:w="1247" w:type="dxa"/>
            <w:vAlign w:val="center"/>
          </w:tcPr>
          <w:p w14:paraId="407D8CE5" w14:textId="77777777"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1</w:t>
            </w:r>
          </w:p>
        </w:tc>
        <w:tc>
          <w:tcPr>
            <w:tcW w:w="2823" w:type="dxa"/>
            <w:vAlign w:val="center"/>
          </w:tcPr>
          <w:p w14:paraId="2B93060F" w14:textId="7F47C6FA" w:rsidR="00FA5F8C" w:rsidRPr="00781B43" w:rsidRDefault="0012752F" w:rsidP="00FA5F8C">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12</w:t>
            </w:r>
            <w:r w:rsidR="00FA5F8C" w:rsidRPr="00781B43">
              <w:rPr>
                <w:rFonts w:ascii="Times New Roman" w:hAnsi="Times New Roman"/>
                <w:kern w:val="2"/>
                <w:lang w:val="en-US"/>
              </w:rPr>
              <w:t xml:space="preserve"> subcarriers, 1 subframes</w:t>
            </w:r>
            <w:r>
              <w:rPr>
                <w:rFonts w:ascii="Times New Roman" w:hAnsi="Times New Roman"/>
                <w:kern w:val="2"/>
                <w:lang w:val="en-US"/>
              </w:rPr>
              <w:t xml:space="preserve"> </w:t>
            </w:r>
          </w:p>
        </w:tc>
      </w:tr>
      <w:tr w:rsidR="00FA5F8C" w:rsidRPr="00781B43" w14:paraId="485F7110" w14:textId="77777777" w:rsidTr="0051757A">
        <w:trPr>
          <w:trHeight w:val="251"/>
          <w:jc w:val="center"/>
        </w:trPr>
        <w:tc>
          <w:tcPr>
            <w:tcW w:w="1258" w:type="dxa"/>
            <w:vMerge/>
            <w:vAlign w:val="center"/>
          </w:tcPr>
          <w:p w14:paraId="65DA9993" w14:textId="77777777" w:rsidR="00FA5F8C" w:rsidRPr="00781B43" w:rsidRDefault="00FA5F8C" w:rsidP="00781B43">
            <w:pPr>
              <w:overflowPunct/>
              <w:snapToGrid w:val="0"/>
              <w:spacing w:after="0"/>
              <w:textAlignment w:val="auto"/>
              <w:rPr>
                <w:rFonts w:ascii="Times New Roman" w:hAnsi="Times New Roman"/>
                <w:kern w:val="2"/>
                <w:lang w:val="en-US"/>
              </w:rPr>
            </w:pPr>
          </w:p>
        </w:tc>
        <w:tc>
          <w:tcPr>
            <w:tcW w:w="1965" w:type="dxa"/>
            <w:vAlign w:val="center"/>
          </w:tcPr>
          <w:p w14:paraId="0E428C20" w14:textId="77777777"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164</w:t>
            </w:r>
          </w:p>
        </w:tc>
        <w:tc>
          <w:tcPr>
            <w:tcW w:w="1823" w:type="dxa"/>
            <w:vAlign w:val="center"/>
          </w:tcPr>
          <w:p w14:paraId="2A06546F" w14:textId="14835AB1"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2</w:t>
            </w:r>
          </w:p>
        </w:tc>
        <w:tc>
          <w:tcPr>
            <w:tcW w:w="1247" w:type="dxa"/>
            <w:vAlign w:val="center"/>
          </w:tcPr>
          <w:p w14:paraId="4FE1F1A0" w14:textId="77777777"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8</w:t>
            </w:r>
          </w:p>
        </w:tc>
        <w:tc>
          <w:tcPr>
            <w:tcW w:w="2823" w:type="dxa"/>
            <w:vAlign w:val="center"/>
          </w:tcPr>
          <w:p w14:paraId="29FF7605" w14:textId="77777777" w:rsidR="00FA5F8C" w:rsidRPr="00781B43" w:rsidRDefault="00FA5F8C" w:rsidP="00FA5F8C">
            <w:pPr>
              <w:overflowPunct/>
              <w:snapToGrid w:val="0"/>
              <w:spacing w:after="0"/>
              <w:jc w:val="center"/>
              <w:textAlignment w:val="auto"/>
              <w:rPr>
                <w:rFonts w:ascii="Times New Roman" w:hAnsi="Times New Roman"/>
                <w:kern w:val="2"/>
                <w:lang w:val="en-US"/>
              </w:rPr>
            </w:pPr>
            <w:r w:rsidRPr="00781B43">
              <w:rPr>
                <w:rFonts w:ascii="Times New Roman" w:hAnsi="Times New Roman"/>
                <w:kern w:val="2"/>
                <w:lang w:val="en-US"/>
              </w:rPr>
              <w:t>12 subcarriers, 8 subframes</w:t>
            </w:r>
          </w:p>
        </w:tc>
      </w:tr>
      <w:tr w:rsidR="0012752F" w:rsidRPr="00781B43" w14:paraId="468C117B" w14:textId="77777777" w:rsidTr="0051757A">
        <w:trPr>
          <w:trHeight w:val="227"/>
          <w:jc w:val="center"/>
        </w:trPr>
        <w:tc>
          <w:tcPr>
            <w:tcW w:w="9117" w:type="dxa"/>
            <w:gridSpan w:val="5"/>
            <w:vAlign w:val="center"/>
          </w:tcPr>
          <w:p w14:paraId="7CFB0F6F" w14:textId="5B107D91" w:rsidR="0012752F" w:rsidRPr="00781B43" w:rsidRDefault="0012752F" w:rsidP="0012752F">
            <w:pPr>
              <w:overflowPunct/>
              <w:snapToGrid w:val="0"/>
              <w:spacing w:after="0"/>
              <w:jc w:val="left"/>
              <w:textAlignment w:val="auto"/>
              <w:rPr>
                <w:rFonts w:ascii="Times New Roman" w:hAnsi="Times New Roman"/>
                <w:kern w:val="2"/>
                <w:lang w:val="en-US"/>
              </w:rPr>
            </w:pPr>
            <w:r>
              <w:rPr>
                <w:rFonts w:ascii="Times New Roman" w:hAnsi="Times New Roman"/>
                <w:kern w:val="2"/>
                <w:lang w:val="en-US"/>
              </w:rPr>
              <w:t xml:space="preserve">Note1: </w:t>
            </w:r>
            <w:r w:rsidR="008445F5" w:rsidRPr="008445F5">
              <w:rPr>
                <w:rFonts w:ascii="Times New Roman" w:hAnsi="Times New Roman"/>
                <w:kern w:val="2"/>
                <w:sz w:val="18"/>
                <w:lang w:val="en-US"/>
              </w:rPr>
              <w:t>Error</w:t>
            </w:r>
            <w:r w:rsidRPr="008445F5">
              <w:rPr>
                <w:rFonts w:ascii="Times New Roman" w:hAnsi="Times New Roman"/>
                <w:kern w:val="2"/>
                <w:sz w:val="18"/>
                <w:lang w:val="en-US"/>
              </w:rPr>
              <w:t xml:space="preserve"> in </w:t>
            </w:r>
            <w:r w:rsidR="008445F5" w:rsidRPr="008445F5">
              <w:rPr>
                <w:rFonts w:ascii="Times New Roman" w:hAnsi="Times New Roman"/>
                <w:kern w:val="2"/>
                <w:sz w:val="18"/>
                <w:lang w:val="en-US"/>
              </w:rPr>
              <w:fldChar w:fldCharType="begin"/>
            </w:r>
            <w:r w:rsidR="008445F5" w:rsidRPr="008445F5">
              <w:rPr>
                <w:rFonts w:ascii="Times New Roman" w:hAnsi="Times New Roman"/>
                <w:kern w:val="2"/>
                <w:sz w:val="18"/>
                <w:lang w:val="en-US"/>
              </w:rPr>
              <w:instrText xml:space="preserve"> REF _Ref463027896 \r \h </w:instrText>
            </w:r>
            <w:r w:rsidR="008445F5" w:rsidRPr="008445F5">
              <w:rPr>
                <w:rFonts w:ascii="Times New Roman" w:hAnsi="Times New Roman"/>
                <w:kern w:val="2"/>
                <w:sz w:val="18"/>
                <w:lang w:val="en-US"/>
              </w:rPr>
            </w:r>
            <w:r w:rsidR="008445F5" w:rsidRPr="008445F5">
              <w:rPr>
                <w:rFonts w:ascii="Times New Roman" w:hAnsi="Times New Roman"/>
                <w:kern w:val="2"/>
                <w:sz w:val="18"/>
                <w:lang w:val="en-US"/>
              </w:rPr>
              <w:instrText xml:space="preserve"> \* MERGEFORMAT </w:instrText>
            </w:r>
            <w:r w:rsidR="008445F5" w:rsidRPr="008445F5">
              <w:rPr>
                <w:rFonts w:ascii="Times New Roman" w:hAnsi="Times New Roman"/>
                <w:kern w:val="2"/>
                <w:sz w:val="18"/>
                <w:lang w:val="en-US"/>
              </w:rPr>
              <w:fldChar w:fldCharType="separate"/>
            </w:r>
            <w:r w:rsidR="00FF1302">
              <w:rPr>
                <w:rFonts w:ascii="Times New Roman" w:hAnsi="Times New Roman"/>
                <w:kern w:val="2"/>
                <w:sz w:val="18"/>
                <w:lang w:val="en-US"/>
              </w:rPr>
              <w:t>[3]</w:t>
            </w:r>
            <w:r w:rsidR="008445F5" w:rsidRPr="008445F5">
              <w:rPr>
                <w:rFonts w:ascii="Times New Roman" w:hAnsi="Times New Roman"/>
                <w:kern w:val="2"/>
                <w:sz w:val="18"/>
                <w:lang w:val="en-US"/>
              </w:rPr>
              <w:fldChar w:fldCharType="end"/>
            </w:r>
            <w:r w:rsidR="0051757A">
              <w:rPr>
                <w:rFonts w:ascii="Times New Roman" w:hAnsi="Times New Roman"/>
                <w:kern w:val="2"/>
                <w:sz w:val="18"/>
                <w:lang w:val="en-US"/>
              </w:rPr>
              <w:t xml:space="preserve"> is corrected.  F</w:t>
            </w:r>
            <w:r w:rsidR="0051757A" w:rsidRPr="0051757A">
              <w:rPr>
                <w:rFonts w:ascii="Times New Roman" w:hAnsi="Times New Roman"/>
                <w:kern w:val="2"/>
                <w:sz w:val="18"/>
                <w:lang w:val="en-US"/>
              </w:rPr>
              <w:t>or type-1 common search space</w:t>
            </w:r>
            <w:r w:rsidR="0051757A">
              <w:rPr>
                <w:rFonts w:ascii="Times New Roman" w:hAnsi="Times New Roman"/>
                <w:kern w:val="2"/>
                <w:sz w:val="18"/>
                <w:lang w:val="en-US"/>
              </w:rPr>
              <w:t>,</w:t>
            </w:r>
            <w:r w:rsidR="0051757A" w:rsidRPr="0051757A">
              <w:rPr>
                <w:rFonts w:ascii="Times New Roman" w:hAnsi="Times New Roman"/>
                <w:kern w:val="2"/>
                <w:sz w:val="18"/>
                <w:lang w:val="en-US"/>
              </w:rPr>
              <w:t xml:space="preserve"> only NPDCCH Aggregation level</w:t>
            </w:r>
            <w:r w:rsidR="0051757A">
              <w:rPr>
                <w:rFonts w:ascii="Times New Roman" w:hAnsi="Times New Roman"/>
                <w:kern w:val="2"/>
                <w:sz w:val="18"/>
                <w:lang w:val="en-US"/>
              </w:rPr>
              <w:t xml:space="preserve"> 2 is supported (</w:t>
            </w:r>
            <w:r w:rsidR="0051757A" w:rsidRPr="0051757A">
              <w:rPr>
                <w:rFonts w:ascii="Times New Roman" w:hAnsi="Times New Roman"/>
                <w:kern w:val="2"/>
                <w:sz w:val="18"/>
                <w:lang w:val="en-US"/>
              </w:rPr>
              <w:t>See TS 36.213</w:t>
            </w:r>
            <w:r w:rsidR="0051757A">
              <w:rPr>
                <w:rFonts w:ascii="Times New Roman" w:hAnsi="Times New Roman"/>
                <w:kern w:val="2"/>
                <w:sz w:val="18"/>
                <w:lang w:val="en-US"/>
              </w:rPr>
              <w:t xml:space="preserve">).  Therefore, 12 subcarriers are always used. </w:t>
            </w:r>
          </w:p>
        </w:tc>
      </w:tr>
    </w:tbl>
    <w:p w14:paraId="78EF6A1B" w14:textId="77777777" w:rsidR="001034AE" w:rsidRPr="001034AE" w:rsidRDefault="001034AE" w:rsidP="001034AE">
      <w:pPr>
        <w:overflowPunct/>
        <w:snapToGrid w:val="0"/>
        <w:textAlignment w:val="auto"/>
        <w:rPr>
          <w:rFonts w:ascii="Times New Roman" w:eastAsia="SimSun" w:hAnsi="Times New Roman"/>
          <w:kern w:val="2"/>
          <w:sz w:val="22"/>
          <w:szCs w:val="22"/>
          <w:lang w:val="en-US"/>
        </w:rPr>
      </w:pPr>
    </w:p>
    <w:p w14:paraId="13C6748A" w14:textId="1BC07F8A" w:rsidR="001034AE" w:rsidRPr="001034AE" w:rsidRDefault="001034AE" w:rsidP="001034AE">
      <w:pPr>
        <w:overflowPunct/>
        <w:snapToGrid w:val="0"/>
        <w:jc w:val="center"/>
        <w:textAlignment w:val="auto"/>
        <w:rPr>
          <w:rFonts w:ascii="Times New Roman" w:eastAsia="SimSun" w:hAnsi="Times New Roman"/>
          <w:b/>
          <w:bCs/>
          <w:kern w:val="2"/>
          <w:sz w:val="21"/>
          <w:szCs w:val="22"/>
          <w:lang w:val="en-US"/>
        </w:rPr>
      </w:pPr>
      <w:bookmarkStart w:id="3" w:name="_Ref457640221"/>
      <w:bookmarkStart w:id="4" w:name="_Ref463029892"/>
      <w:r w:rsidRPr="001034AE">
        <w:rPr>
          <w:rFonts w:ascii="Times New Roman" w:eastAsia="SimSun" w:hAnsi="Times New Roman"/>
          <w:b/>
          <w:bCs/>
          <w:kern w:val="2"/>
          <w:sz w:val="21"/>
          <w:szCs w:val="22"/>
          <w:lang w:val="en-US"/>
        </w:rPr>
        <w:t xml:space="preserve">Table </w:t>
      </w:r>
      <w:r w:rsidRPr="001034AE">
        <w:rPr>
          <w:rFonts w:ascii="Times New Roman" w:eastAsia="SimSun" w:hAnsi="Times New Roman"/>
          <w:b/>
          <w:bCs/>
          <w:kern w:val="2"/>
          <w:sz w:val="21"/>
          <w:szCs w:val="22"/>
          <w:lang w:val="en-US"/>
        </w:rPr>
        <w:fldChar w:fldCharType="begin"/>
      </w:r>
      <w:r w:rsidRPr="001034AE">
        <w:rPr>
          <w:rFonts w:ascii="Times New Roman" w:eastAsia="SimSun" w:hAnsi="Times New Roman"/>
          <w:b/>
          <w:bCs/>
          <w:kern w:val="2"/>
          <w:sz w:val="21"/>
          <w:szCs w:val="22"/>
          <w:lang w:val="en-US"/>
        </w:rPr>
        <w:instrText xml:space="preserve"> SEQ Table \* ARABIC </w:instrText>
      </w:r>
      <w:r w:rsidRPr="001034AE">
        <w:rPr>
          <w:rFonts w:ascii="Times New Roman" w:eastAsia="SimSun" w:hAnsi="Times New Roman"/>
          <w:b/>
          <w:bCs/>
          <w:kern w:val="2"/>
          <w:sz w:val="21"/>
          <w:szCs w:val="22"/>
          <w:lang w:val="en-US"/>
        </w:rPr>
        <w:fldChar w:fldCharType="separate"/>
      </w:r>
      <w:r w:rsidR="00FF1302">
        <w:rPr>
          <w:rFonts w:ascii="Times New Roman" w:eastAsia="SimSun" w:hAnsi="Times New Roman"/>
          <w:b/>
          <w:bCs/>
          <w:noProof/>
          <w:kern w:val="2"/>
          <w:sz w:val="21"/>
          <w:szCs w:val="22"/>
          <w:lang w:val="en-US"/>
        </w:rPr>
        <w:t>2</w:t>
      </w:r>
      <w:r w:rsidRPr="001034AE">
        <w:rPr>
          <w:rFonts w:ascii="Times New Roman" w:eastAsia="SimSun" w:hAnsi="Times New Roman"/>
          <w:b/>
          <w:bCs/>
          <w:kern w:val="2"/>
          <w:sz w:val="21"/>
          <w:szCs w:val="22"/>
          <w:lang w:val="en-US"/>
        </w:rPr>
        <w:fldChar w:fldCharType="end"/>
      </w:r>
      <w:bookmarkEnd w:id="4"/>
      <w:r w:rsidRPr="001034AE">
        <w:rPr>
          <w:rFonts w:ascii="Times New Roman" w:eastAsia="SimSun" w:hAnsi="Times New Roman"/>
          <w:b/>
          <w:bCs/>
          <w:kern w:val="2"/>
          <w:sz w:val="21"/>
          <w:szCs w:val="22"/>
          <w:lang w:val="en-US"/>
        </w:rPr>
        <w:t xml:space="preserve">  Resources per NPDSCH transmission of paging message carrying a single UE ID</w:t>
      </w:r>
    </w:p>
    <w:tbl>
      <w:tblPr>
        <w:tblStyle w:val="TableGrid11"/>
        <w:tblW w:w="9209" w:type="dxa"/>
        <w:jc w:val="center"/>
        <w:tblLook w:val="04A0" w:firstRow="1" w:lastRow="0" w:firstColumn="1" w:lastColumn="0" w:noHBand="0" w:noVBand="1"/>
      </w:tblPr>
      <w:tblGrid>
        <w:gridCol w:w="1271"/>
        <w:gridCol w:w="1985"/>
        <w:gridCol w:w="1842"/>
        <w:gridCol w:w="1276"/>
        <w:gridCol w:w="2835"/>
      </w:tblGrid>
      <w:tr w:rsidR="001034AE" w:rsidRPr="001034AE" w14:paraId="6BB8A11D" w14:textId="77777777" w:rsidTr="001034AE">
        <w:trPr>
          <w:jc w:val="center"/>
        </w:trPr>
        <w:tc>
          <w:tcPr>
            <w:tcW w:w="1271" w:type="dxa"/>
            <w:vAlign w:val="center"/>
          </w:tcPr>
          <w:p w14:paraId="3F7186CF"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Operation</w:t>
            </w:r>
          </w:p>
        </w:tc>
        <w:tc>
          <w:tcPr>
            <w:tcW w:w="1985" w:type="dxa"/>
            <w:vAlign w:val="center"/>
          </w:tcPr>
          <w:p w14:paraId="014D8147"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Coupling loss (</w:t>
            </w:r>
            <w:r w:rsidRPr="001034AE">
              <w:rPr>
                <w:rFonts w:ascii="Times New Roman" w:hAnsi="Times New Roman"/>
                <w:kern w:val="2"/>
                <w:lang w:val="en-US"/>
              </w:rPr>
              <w:t>dB</w:t>
            </w:r>
            <w:r w:rsidRPr="001034AE">
              <w:rPr>
                <w:rFonts w:ascii="Times New Roman" w:hAnsi="Times New Roman" w:hint="eastAsia"/>
                <w:kern w:val="2"/>
                <w:lang w:val="en-US"/>
              </w:rPr>
              <w:t>)</w:t>
            </w:r>
          </w:p>
        </w:tc>
        <w:tc>
          <w:tcPr>
            <w:tcW w:w="1842" w:type="dxa"/>
          </w:tcPr>
          <w:p w14:paraId="15653E9D"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Number of subframes</w:t>
            </w:r>
          </w:p>
        </w:tc>
        <w:tc>
          <w:tcPr>
            <w:tcW w:w="1276" w:type="dxa"/>
            <w:vAlign w:val="center"/>
          </w:tcPr>
          <w:p w14:paraId="681FBAE4"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Repetitions</w:t>
            </w:r>
          </w:p>
        </w:tc>
        <w:tc>
          <w:tcPr>
            <w:tcW w:w="2835" w:type="dxa"/>
            <w:vAlign w:val="center"/>
          </w:tcPr>
          <w:p w14:paraId="2451A877"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Resources used</w:t>
            </w:r>
          </w:p>
        </w:tc>
      </w:tr>
      <w:tr w:rsidR="00F90EF3" w:rsidRPr="001034AE" w14:paraId="200AB893" w14:textId="77777777" w:rsidTr="001034AE">
        <w:trPr>
          <w:jc w:val="center"/>
        </w:trPr>
        <w:tc>
          <w:tcPr>
            <w:tcW w:w="1271" w:type="dxa"/>
            <w:vMerge w:val="restart"/>
            <w:vAlign w:val="center"/>
          </w:tcPr>
          <w:p w14:paraId="259526DD" w14:textId="69B14A02" w:rsidR="00F90EF3" w:rsidRPr="001034AE" w:rsidRDefault="00F90EF3" w:rsidP="00F90EF3">
            <w:pPr>
              <w:snapToGrid w:val="0"/>
              <w:spacing w:after="0"/>
              <w:rPr>
                <w:rFonts w:ascii="Times New Roman" w:hAnsi="Times New Roman"/>
                <w:kern w:val="2"/>
                <w:lang w:val="en-US"/>
              </w:rPr>
            </w:pPr>
            <w:r w:rsidRPr="001034AE">
              <w:rPr>
                <w:rFonts w:ascii="Times New Roman" w:hAnsi="Times New Roman" w:hint="eastAsia"/>
                <w:kern w:val="2"/>
                <w:lang w:val="en-US"/>
              </w:rPr>
              <w:t>In-band</w:t>
            </w:r>
          </w:p>
        </w:tc>
        <w:tc>
          <w:tcPr>
            <w:tcW w:w="1985" w:type="dxa"/>
            <w:vAlign w:val="center"/>
          </w:tcPr>
          <w:p w14:paraId="6600A96D" w14:textId="11DBDE16" w:rsidR="00F90EF3" w:rsidRPr="001034AE" w:rsidRDefault="00F90EF3" w:rsidP="00F90EF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144</w:t>
            </w:r>
          </w:p>
        </w:tc>
        <w:tc>
          <w:tcPr>
            <w:tcW w:w="1842" w:type="dxa"/>
          </w:tcPr>
          <w:p w14:paraId="42709CD4" w14:textId="2A5304A5" w:rsidR="00F90EF3" w:rsidRPr="001034AE" w:rsidRDefault="00F90EF3" w:rsidP="00F90EF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w:t>
            </w:r>
          </w:p>
        </w:tc>
        <w:tc>
          <w:tcPr>
            <w:tcW w:w="1276" w:type="dxa"/>
            <w:vAlign w:val="center"/>
          </w:tcPr>
          <w:p w14:paraId="753D4FDF" w14:textId="7030BC1E" w:rsidR="00F90EF3" w:rsidRPr="001034AE" w:rsidRDefault="00C102C9" w:rsidP="00F90EF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8</w:t>
            </w:r>
          </w:p>
        </w:tc>
        <w:tc>
          <w:tcPr>
            <w:tcW w:w="2835" w:type="dxa"/>
            <w:vAlign w:val="center"/>
          </w:tcPr>
          <w:p w14:paraId="4C2E1C91" w14:textId="2EAD1BE3" w:rsidR="00F90EF3" w:rsidRPr="001034AE" w:rsidRDefault="00F90EF3" w:rsidP="00F90EF3">
            <w:pPr>
              <w:overflowPunct/>
              <w:snapToGrid w:val="0"/>
              <w:spacing w:after="0"/>
              <w:textAlignment w:val="auto"/>
              <w:rPr>
                <w:rFonts w:ascii="Times New Roman" w:hAnsi="Times New Roman"/>
                <w:kern w:val="2"/>
                <w:lang w:val="en-US"/>
              </w:rPr>
            </w:pPr>
            <w:r>
              <w:rPr>
                <w:rFonts w:ascii="Times New Roman" w:hAnsi="Times New Roman"/>
                <w:kern w:val="2"/>
                <w:lang w:val="en-US"/>
              </w:rPr>
              <w:t>12 subcarri</w:t>
            </w:r>
            <w:r w:rsidR="00C55E4E">
              <w:rPr>
                <w:rFonts w:ascii="Times New Roman" w:hAnsi="Times New Roman"/>
                <w:kern w:val="2"/>
                <w:lang w:val="en-US"/>
              </w:rPr>
              <w:t xml:space="preserve">ers, </w:t>
            </w:r>
            <w:r w:rsidR="00C102C9">
              <w:rPr>
                <w:rFonts w:ascii="Times New Roman" w:hAnsi="Times New Roman"/>
                <w:kern w:val="2"/>
                <w:lang w:val="en-US"/>
              </w:rPr>
              <w:t>8</w:t>
            </w:r>
            <w:r>
              <w:rPr>
                <w:rFonts w:ascii="Times New Roman" w:hAnsi="Times New Roman"/>
                <w:kern w:val="2"/>
                <w:lang w:val="en-US"/>
              </w:rPr>
              <w:t xml:space="preserve"> </w:t>
            </w:r>
            <w:r w:rsidRPr="001034AE">
              <w:rPr>
                <w:rFonts w:ascii="Times New Roman" w:hAnsi="Times New Roman"/>
                <w:kern w:val="2"/>
                <w:lang w:val="en-US"/>
              </w:rPr>
              <w:t>subframes</w:t>
            </w:r>
          </w:p>
        </w:tc>
      </w:tr>
      <w:tr w:rsidR="00F90EF3" w:rsidRPr="001034AE" w14:paraId="6548EB69" w14:textId="77777777" w:rsidTr="001034AE">
        <w:trPr>
          <w:jc w:val="center"/>
        </w:trPr>
        <w:tc>
          <w:tcPr>
            <w:tcW w:w="1271" w:type="dxa"/>
            <w:vMerge/>
            <w:vAlign w:val="center"/>
          </w:tcPr>
          <w:p w14:paraId="2509C51B" w14:textId="096458DA" w:rsidR="00F90EF3" w:rsidRPr="001034AE" w:rsidRDefault="00F90EF3" w:rsidP="00F90EF3">
            <w:pPr>
              <w:overflowPunct/>
              <w:snapToGrid w:val="0"/>
              <w:spacing w:after="0"/>
              <w:textAlignment w:val="auto"/>
              <w:rPr>
                <w:rFonts w:ascii="Times New Roman" w:hAnsi="Times New Roman"/>
                <w:kern w:val="2"/>
                <w:lang w:val="en-US"/>
              </w:rPr>
            </w:pPr>
          </w:p>
        </w:tc>
        <w:tc>
          <w:tcPr>
            <w:tcW w:w="1985" w:type="dxa"/>
            <w:vAlign w:val="center"/>
          </w:tcPr>
          <w:p w14:paraId="02DB621F"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154</w:t>
            </w:r>
          </w:p>
        </w:tc>
        <w:tc>
          <w:tcPr>
            <w:tcW w:w="1842" w:type="dxa"/>
          </w:tcPr>
          <w:p w14:paraId="354FF36A"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2</w:t>
            </w:r>
          </w:p>
        </w:tc>
        <w:tc>
          <w:tcPr>
            <w:tcW w:w="1276" w:type="dxa"/>
            <w:vAlign w:val="center"/>
          </w:tcPr>
          <w:p w14:paraId="5739ED2B"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8</w:t>
            </w:r>
          </w:p>
        </w:tc>
        <w:tc>
          <w:tcPr>
            <w:tcW w:w="2835" w:type="dxa"/>
            <w:vAlign w:val="center"/>
          </w:tcPr>
          <w:p w14:paraId="644C7C49" w14:textId="77777777" w:rsidR="00F90EF3" w:rsidRPr="001034AE" w:rsidRDefault="00F90EF3" w:rsidP="00F90EF3">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16 subframes</w:t>
            </w:r>
          </w:p>
        </w:tc>
      </w:tr>
      <w:tr w:rsidR="00F90EF3" w:rsidRPr="001034AE" w14:paraId="05ADA2B6" w14:textId="77777777" w:rsidTr="001034AE">
        <w:trPr>
          <w:jc w:val="center"/>
        </w:trPr>
        <w:tc>
          <w:tcPr>
            <w:tcW w:w="1271" w:type="dxa"/>
            <w:vMerge/>
            <w:vAlign w:val="center"/>
          </w:tcPr>
          <w:p w14:paraId="397C14C1" w14:textId="77777777" w:rsidR="00F90EF3" w:rsidRPr="001034AE" w:rsidRDefault="00F90EF3" w:rsidP="00F90EF3">
            <w:pPr>
              <w:overflowPunct/>
              <w:snapToGrid w:val="0"/>
              <w:spacing w:after="0"/>
              <w:textAlignment w:val="auto"/>
              <w:rPr>
                <w:rFonts w:ascii="Times New Roman" w:hAnsi="Times New Roman"/>
                <w:kern w:val="2"/>
                <w:lang w:val="en-US"/>
              </w:rPr>
            </w:pPr>
          </w:p>
        </w:tc>
        <w:tc>
          <w:tcPr>
            <w:tcW w:w="1985" w:type="dxa"/>
            <w:vAlign w:val="center"/>
          </w:tcPr>
          <w:p w14:paraId="68350262"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164</w:t>
            </w:r>
          </w:p>
        </w:tc>
        <w:tc>
          <w:tcPr>
            <w:tcW w:w="1842" w:type="dxa"/>
          </w:tcPr>
          <w:p w14:paraId="54A95460"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2</w:t>
            </w:r>
          </w:p>
        </w:tc>
        <w:tc>
          <w:tcPr>
            <w:tcW w:w="1276" w:type="dxa"/>
            <w:vAlign w:val="center"/>
          </w:tcPr>
          <w:p w14:paraId="7F16BA7E"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128</w:t>
            </w:r>
          </w:p>
        </w:tc>
        <w:tc>
          <w:tcPr>
            <w:tcW w:w="2835" w:type="dxa"/>
            <w:vAlign w:val="center"/>
          </w:tcPr>
          <w:p w14:paraId="25FD68E3" w14:textId="77777777" w:rsidR="00F90EF3" w:rsidRPr="001034AE" w:rsidRDefault="00F90EF3" w:rsidP="00F90EF3">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256 subframes</w:t>
            </w:r>
          </w:p>
        </w:tc>
      </w:tr>
      <w:tr w:rsidR="00F90EF3" w:rsidRPr="001034AE" w14:paraId="335BC176" w14:textId="77777777" w:rsidTr="001034AE">
        <w:trPr>
          <w:jc w:val="center"/>
        </w:trPr>
        <w:tc>
          <w:tcPr>
            <w:tcW w:w="1271" w:type="dxa"/>
            <w:vMerge w:val="restart"/>
            <w:vAlign w:val="center"/>
          </w:tcPr>
          <w:p w14:paraId="3F0674C8" w14:textId="41FFAEC9" w:rsidR="00F90EF3" w:rsidRPr="001034AE" w:rsidRDefault="00F90EF3" w:rsidP="00F90EF3">
            <w:pPr>
              <w:snapToGrid w:val="0"/>
              <w:spacing w:after="0"/>
              <w:rPr>
                <w:rFonts w:ascii="Times New Roman" w:hAnsi="Times New Roman"/>
                <w:kern w:val="2"/>
                <w:lang w:val="en-US"/>
              </w:rPr>
            </w:pPr>
            <w:r w:rsidRPr="001034AE">
              <w:rPr>
                <w:rFonts w:ascii="Times New Roman" w:hAnsi="Times New Roman" w:hint="eastAsia"/>
                <w:kern w:val="2"/>
                <w:lang w:val="en-US"/>
              </w:rPr>
              <w:t>Standalone</w:t>
            </w:r>
          </w:p>
        </w:tc>
        <w:tc>
          <w:tcPr>
            <w:tcW w:w="1985" w:type="dxa"/>
            <w:vAlign w:val="center"/>
          </w:tcPr>
          <w:p w14:paraId="75BAE64F" w14:textId="79159CAC" w:rsidR="00F90EF3" w:rsidRPr="001034AE" w:rsidRDefault="00F90EF3" w:rsidP="00F90EF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144</w:t>
            </w:r>
          </w:p>
        </w:tc>
        <w:tc>
          <w:tcPr>
            <w:tcW w:w="1842" w:type="dxa"/>
          </w:tcPr>
          <w:p w14:paraId="1E2253BF" w14:textId="1D6B5AC9" w:rsidR="00F90EF3" w:rsidRPr="001034AE" w:rsidRDefault="00C55E4E" w:rsidP="00F90EF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w:t>
            </w:r>
          </w:p>
        </w:tc>
        <w:tc>
          <w:tcPr>
            <w:tcW w:w="1276" w:type="dxa"/>
            <w:vAlign w:val="center"/>
          </w:tcPr>
          <w:p w14:paraId="25F3815B" w14:textId="2CC34E14" w:rsidR="00F90EF3" w:rsidRPr="001034AE" w:rsidRDefault="0085207A" w:rsidP="00F90EF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w:t>
            </w:r>
          </w:p>
        </w:tc>
        <w:tc>
          <w:tcPr>
            <w:tcW w:w="2835" w:type="dxa"/>
            <w:vAlign w:val="center"/>
          </w:tcPr>
          <w:p w14:paraId="09B65807" w14:textId="0643D229" w:rsidR="00F90EF3" w:rsidRPr="001034AE" w:rsidRDefault="00C55E4E" w:rsidP="00F90EF3">
            <w:pPr>
              <w:overflowPunct/>
              <w:snapToGrid w:val="0"/>
              <w:spacing w:after="0"/>
              <w:textAlignment w:val="auto"/>
              <w:rPr>
                <w:rFonts w:ascii="Times New Roman" w:hAnsi="Times New Roman"/>
                <w:kern w:val="2"/>
                <w:lang w:val="en-US"/>
              </w:rPr>
            </w:pPr>
            <w:r>
              <w:rPr>
                <w:rFonts w:ascii="Times New Roman" w:hAnsi="Times New Roman"/>
                <w:kern w:val="2"/>
                <w:lang w:val="en-US"/>
              </w:rPr>
              <w:t xml:space="preserve">12 subcarriers, </w:t>
            </w:r>
            <w:r w:rsidR="006715D7">
              <w:rPr>
                <w:rFonts w:ascii="Times New Roman" w:hAnsi="Times New Roman"/>
                <w:kern w:val="2"/>
                <w:lang w:val="en-US"/>
              </w:rPr>
              <w:t>1</w:t>
            </w:r>
            <w:r>
              <w:rPr>
                <w:rFonts w:ascii="Times New Roman" w:hAnsi="Times New Roman"/>
                <w:kern w:val="2"/>
                <w:lang w:val="en-US"/>
              </w:rPr>
              <w:t xml:space="preserve"> </w:t>
            </w:r>
            <w:r w:rsidRPr="001034AE">
              <w:rPr>
                <w:rFonts w:ascii="Times New Roman" w:hAnsi="Times New Roman"/>
                <w:kern w:val="2"/>
                <w:lang w:val="en-US"/>
              </w:rPr>
              <w:t>subframes</w:t>
            </w:r>
          </w:p>
        </w:tc>
      </w:tr>
      <w:tr w:rsidR="00F90EF3" w:rsidRPr="001034AE" w14:paraId="3D1C588B" w14:textId="77777777" w:rsidTr="001034AE">
        <w:trPr>
          <w:jc w:val="center"/>
        </w:trPr>
        <w:tc>
          <w:tcPr>
            <w:tcW w:w="1271" w:type="dxa"/>
            <w:vMerge/>
            <w:vAlign w:val="center"/>
          </w:tcPr>
          <w:p w14:paraId="7147D636" w14:textId="2E565B77" w:rsidR="00F90EF3" w:rsidRPr="001034AE" w:rsidRDefault="00F90EF3" w:rsidP="00F90EF3">
            <w:pPr>
              <w:overflowPunct/>
              <w:snapToGrid w:val="0"/>
              <w:spacing w:after="0"/>
              <w:textAlignment w:val="auto"/>
              <w:rPr>
                <w:rFonts w:ascii="Times New Roman" w:hAnsi="Times New Roman"/>
                <w:kern w:val="2"/>
                <w:lang w:val="en-US"/>
              </w:rPr>
            </w:pPr>
          </w:p>
        </w:tc>
        <w:tc>
          <w:tcPr>
            <w:tcW w:w="1985" w:type="dxa"/>
            <w:vAlign w:val="center"/>
          </w:tcPr>
          <w:p w14:paraId="6BF1DB5D"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154</w:t>
            </w:r>
          </w:p>
        </w:tc>
        <w:tc>
          <w:tcPr>
            <w:tcW w:w="1842" w:type="dxa"/>
          </w:tcPr>
          <w:p w14:paraId="38796177"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2</w:t>
            </w:r>
          </w:p>
        </w:tc>
        <w:tc>
          <w:tcPr>
            <w:tcW w:w="1276" w:type="dxa"/>
            <w:vAlign w:val="center"/>
          </w:tcPr>
          <w:p w14:paraId="239CF49D"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w:t>
            </w:r>
          </w:p>
        </w:tc>
        <w:tc>
          <w:tcPr>
            <w:tcW w:w="2835" w:type="dxa"/>
            <w:vAlign w:val="center"/>
          </w:tcPr>
          <w:p w14:paraId="5760F177" w14:textId="77777777" w:rsidR="00F90EF3" w:rsidRPr="001034AE" w:rsidRDefault="00F90EF3" w:rsidP="00F90EF3">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2 subframes</w:t>
            </w:r>
          </w:p>
        </w:tc>
      </w:tr>
      <w:tr w:rsidR="00F90EF3" w:rsidRPr="001034AE" w14:paraId="548AC0D9" w14:textId="77777777" w:rsidTr="001034AE">
        <w:trPr>
          <w:jc w:val="center"/>
        </w:trPr>
        <w:tc>
          <w:tcPr>
            <w:tcW w:w="1271" w:type="dxa"/>
            <w:vMerge/>
            <w:vAlign w:val="center"/>
          </w:tcPr>
          <w:p w14:paraId="037D9F12" w14:textId="77777777" w:rsidR="00F90EF3" w:rsidRPr="001034AE" w:rsidRDefault="00F90EF3" w:rsidP="00F90EF3">
            <w:pPr>
              <w:overflowPunct/>
              <w:snapToGrid w:val="0"/>
              <w:spacing w:after="0"/>
              <w:textAlignment w:val="auto"/>
              <w:rPr>
                <w:rFonts w:ascii="Times New Roman" w:hAnsi="Times New Roman"/>
                <w:kern w:val="2"/>
                <w:lang w:val="en-US"/>
              </w:rPr>
            </w:pPr>
          </w:p>
        </w:tc>
        <w:tc>
          <w:tcPr>
            <w:tcW w:w="1985" w:type="dxa"/>
            <w:vAlign w:val="center"/>
          </w:tcPr>
          <w:p w14:paraId="054C2F76"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164</w:t>
            </w:r>
          </w:p>
        </w:tc>
        <w:tc>
          <w:tcPr>
            <w:tcW w:w="1842" w:type="dxa"/>
          </w:tcPr>
          <w:p w14:paraId="56C58500"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2</w:t>
            </w:r>
          </w:p>
        </w:tc>
        <w:tc>
          <w:tcPr>
            <w:tcW w:w="1276" w:type="dxa"/>
            <w:vAlign w:val="center"/>
          </w:tcPr>
          <w:p w14:paraId="728C479C"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8</w:t>
            </w:r>
          </w:p>
        </w:tc>
        <w:tc>
          <w:tcPr>
            <w:tcW w:w="2835" w:type="dxa"/>
            <w:vAlign w:val="center"/>
          </w:tcPr>
          <w:p w14:paraId="0AA41A1F" w14:textId="77777777" w:rsidR="00F90EF3" w:rsidRPr="001034AE" w:rsidRDefault="00F90EF3" w:rsidP="00F90EF3">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16 subframes</w:t>
            </w:r>
          </w:p>
        </w:tc>
      </w:tr>
      <w:bookmarkEnd w:id="3"/>
    </w:tbl>
    <w:p w14:paraId="6A151767" w14:textId="77777777" w:rsidR="001034AE" w:rsidRPr="001034AE" w:rsidRDefault="001034AE" w:rsidP="001034AE">
      <w:pPr>
        <w:overflowPunct/>
        <w:snapToGrid w:val="0"/>
        <w:textAlignment w:val="auto"/>
        <w:rPr>
          <w:rFonts w:ascii="Times New Roman" w:eastAsia="SimSun" w:hAnsi="Times New Roman"/>
          <w:kern w:val="2"/>
          <w:sz w:val="22"/>
          <w:szCs w:val="22"/>
          <w:lang w:val="en-US"/>
        </w:rPr>
      </w:pPr>
    </w:p>
    <w:p w14:paraId="462FAAB3" w14:textId="3341F40A" w:rsidR="001034AE" w:rsidRPr="001034AE" w:rsidRDefault="001034AE" w:rsidP="001034AE">
      <w:pPr>
        <w:overflowPunct/>
        <w:snapToGrid w:val="0"/>
        <w:jc w:val="center"/>
        <w:textAlignment w:val="auto"/>
        <w:rPr>
          <w:rFonts w:ascii="Times New Roman" w:eastAsia="SimSun" w:hAnsi="Times New Roman"/>
          <w:b/>
          <w:bCs/>
          <w:kern w:val="2"/>
          <w:sz w:val="21"/>
          <w:szCs w:val="22"/>
          <w:lang w:val="en-US"/>
        </w:rPr>
      </w:pPr>
      <w:bookmarkStart w:id="5" w:name="_Ref458431380"/>
      <w:r w:rsidRPr="001034AE">
        <w:rPr>
          <w:rFonts w:ascii="Times New Roman" w:eastAsia="SimSun" w:hAnsi="Times New Roman"/>
          <w:b/>
          <w:bCs/>
          <w:kern w:val="2"/>
          <w:sz w:val="21"/>
          <w:szCs w:val="22"/>
          <w:lang w:val="en-US"/>
        </w:rPr>
        <w:t xml:space="preserve">Table </w:t>
      </w:r>
      <w:r w:rsidRPr="001034AE">
        <w:rPr>
          <w:rFonts w:ascii="Times New Roman" w:eastAsia="SimSun" w:hAnsi="Times New Roman"/>
          <w:b/>
          <w:bCs/>
          <w:kern w:val="2"/>
          <w:sz w:val="21"/>
          <w:szCs w:val="22"/>
          <w:lang w:val="en-US"/>
        </w:rPr>
        <w:fldChar w:fldCharType="begin"/>
      </w:r>
      <w:r w:rsidRPr="001034AE">
        <w:rPr>
          <w:rFonts w:ascii="Times New Roman" w:eastAsia="SimSun" w:hAnsi="Times New Roman"/>
          <w:b/>
          <w:bCs/>
          <w:kern w:val="2"/>
          <w:sz w:val="21"/>
          <w:szCs w:val="22"/>
          <w:lang w:val="en-US"/>
        </w:rPr>
        <w:instrText xml:space="preserve"> SEQ Table \* ARABIC </w:instrText>
      </w:r>
      <w:r w:rsidRPr="001034AE">
        <w:rPr>
          <w:rFonts w:ascii="Times New Roman" w:eastAsia="SimSun" w:hAnsi="Times New Roman"/>
          <w:b/>
          <w:bCs/>
          <w:kern w:val="2"/>
          <w:sz w:val="21"/>
          <w:szCs w:val="22"/>
          <w:lang w:val="en-US"/>
        </w:rPr>
        <w:fldChar w:fldCharType="separate"/>
      </w:r>
      <w:r w:rsidR="00FF1302">
        <w:rPr>
          <w:rFonts w:ascii="Times New Roman" w:eastAsia="SimSun" w:hAnsi="Times New Roman"/>
          <w:b/>
          <w:bCs/>
          <w:noProof/>
          <w:kern w:val="2"/>
          <w:sz w:val="21"/>
          <w:szCs w:val="22"/>
          <w:lang w:val="en-US"/>
        </w:rPr>
        <w:t>3</w:t>
      </w:r>
      <w:r w:rsidRPr="001034AE">
        <w:rPr>
          <w:rFonts w:ascii="Times New Roman" w:eastAsia="SimSun" w:hAnsi="Times New Roman"/>
          <w:b/>
          <w:bCs/>
          <w:kern w:val="2"/>
          <w:sz w:val="21"/>
          <w:szCs w:val="22"/>
          <w:lang w:val="en-US"/>
        </w:rPr>
        <w:fldChar w:fldCharType="end"/>
      </w:r>
      <w:bookmarkEnd w:id="5"/>
      <w:r w:rsidRPr="001034AE">
        <w:rPr>
          <w:rFonts w:ascii="Times New Roman" w:eastAsia="SimSun" w:hAnsi="Times New Roman"/>
          <w:b/>
          <w:bCs/>
          <w:kern w:val="2"/>
          <w:sz w:val="21"/>
          <w:szCs w:val="22"/>
          <w:lang w:val="en-US"/>
        </w:rPr>
        <w:t xml:space="preserve">  Resources per NPDSCH transmission of paging message carrying 16 UE IDs</w:t>
      </w:r>
    </w:p>
    <w:tbl>
      <w:tblPr>
        <w:tblStyle w:val="TableGrid11"/>
        <w:tblW w:w="9209" w:type="dxa"/>
        <w:jc w:val="center"/>
        <w:tblLook w:val="04A0" w:firstRow="1" w:lastRow="0" w:firstColumn="1" w:lastColumn="0" w:noHBand="0" w:noVBand="1"/>
      </w:tblPr>
      <w:tblGrid>
        <w:gridCol w:w="1271"/>
        <w:gridCol w:w="1985"/>
        <w:gridCol w:w="1842"/>
        <w:gridCol w:w="1276"/>
        <w:gridCol w:w="2835"/>
      </w:tblGrid>
      <w:tr w:rsidR="001034AE" w:rsidRPr="001034AE" w14:paraId="05599D2B" w14:textId="77777777" w:rsidTr="001034AE">
        <w:trPr>
          <w:jc w:val="center"/>
        </w:trPr>
        <w:tc>
          <w:tcPr>
            <w:tcW w:w="1271" w:type="dxa"/>
            <w:vAlign w:val="center"/>
          </w:tcPr>
          <w:p w14:paraId="2DB47E87"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Operation</w:t>
            </w:r>
          </w:p>
        </w:tc>
        <w:tc>
          <w:tcPr>
            <w:tcW w:w="1985" w:type="dxa"/>
            <w:vAlign w:val="center"/>
          </w:tcPr>
          <w:p w14:paraId="0066D14C"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Coupling loss (</w:t>
            </w:r>
            <w:r w:rsidRPr="001034AE">
              <w:rPr>
                <w:rFonts w:ascii="Times New Roman" w:hAnsi="Times New Roman"/>
                <w:kern w:val="2"/>
                <w:lang w:val="en-US"/>
              </w:rPr>
              <w:t>dB</w:t>
            </w:r>
            <w:r w:rsidRPr="001034AE">
              <w:rPr>
                <w:rFonts w:ascii="Times New Roman" w:hAnsi="Times New Roman" w:hint="eastAsia"/>
                <w:kern w:val="2"/>
                <w:lang w:val="en-US"/>
              </w:rPr>
              <w:t>)</w:t>
            </w:r>
          </w:p>
        </w:tc>
        <w:tc>
          <w:tcPr>
            <w:tcW w:w="1842" w:type="dxa"/>
          </w:tcPr>
          <w:p w14:paraId="0377F255"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Number of subframes</w:t>
            </w:r>
          </w:p>
        </w:tc>
        <w:tc>
          <w:tcPr>
            <w:tcW w:w="1276" w:type="dxa"/>
            <w:vAlign w:val="center"/>
          </w:tcPr>
          <w:p w14:paraId="2B985051"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Repetitions</w:t>
            </w:r>
          </w:p>
        </w:tc>
        <w:tc>
          <w:tcPr>
            <w:tcW w:w="2835" w:type="dxa"/>
            <w:vAlign w:val="center"/>
          </w:tcPr>
          <w:p w14:paraId="0D4E0670"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Resources used</w:t>
            </w:r>
          </w:p>
        </w:tc>
      </w:tr>
      <w:tr w:rsidR="001034AE" w:rsidRPr="001034AE" w14:paraId="35A617D4" w14:textId="77777777" w:rsidTr="001034AE">
        <w:trPr>
          <w:jc w:val="center"/>
        </w:trPr>
        <w:tc>
          <w:tcPr>
            <w:tcW w:w="1271" w:type="dxa"/>
            <w:vMerge w:val="restart"/>
            <w:vAlign w:val="center"/>
          </w:tcPr>
          <w:p w14:paraId="2E7CF5B3" w14:textId="439E6BE3" w:rsidR="001034AE" w:rsidRPr="001034AE" w:rsidRDefault="001034AE" w:rsidP="001034AE">
            <w:pPr>
              <w:snapToGrid w:val="0"/>
              <w:spacing w:after="0"/>
              <w:rPr>
                <w:rFonts w:ascii="Times New Roman" w:hAnsi="Times New Roman"/>
                <w:kern w:val="2"/>
                <w:lang w:val="en-US"/>
              </w:rPr>
            </w:pPr>
            <w:r w:rsidRPr="001034AE">
              <w:rPr>
                <w:rFonts w:ascii="Times New Roman" w:hAnsi="Times New Roman" w:hint="eastAsia"/>
                <w:kern w:val="2"/>
                <w:lang w:val="en-US"/>
              </w:rPr>
              <w:t>In-band</w:t>
            </w:r>
          </w:p>
        </w:tc>
        <w:tc>
          <w:tcPr>
            <w:tcW w:w="1985" w:type="dxa"/>
            <w:vAlign w:val="center"/>
          </w:tcPr>
          <w:p w14:paraId="0AEA9328" w14:textId="02FBDD0E" w:rsidR="001034AE" w:rsidRPr="001034AE" w:rsidRDefault="001034AE" w:rsidP="001034AE">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144</w:t>
            </w:r>
          </w:p>
        </w:tc>
        <w:tc>
          <w:tcPr>
            <w:tcW w:w="1842" w:type="dxa"/>
          </w:tcPr>
          <w:p w14:paraId="641C2D6C" w14:textId="3A18A974" w:rsidR="001034AE" w:rsidRPr="001034AE" w:rsidRDefault="004126B4" w:rsidP="001034AE">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10</w:t>
            </w:r>
          </w:p>
        </w:tc>
        <w:tc>
          <w:tcPr>
            <w:tcW w:w="1276" w:type="dxa"/>
            <w:vAlign w:val="center"/>
          </w:tcPr>
          <w:p w14:paraId="28078029" w14:textId="5CA30E8E" w:rsidR="001034AE" w:rsidRPr="001034AE" w:rsidRDefault="004126B4" w:rsidP="001034AE">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w:t>
            </w:r>
          </w:p>
        </w:tc>
        <w:tc>
          <w:tcPr>
            <w:tcW w:w="2835" w:type="dxa"/>
            <w:vAlign w:val="center"/>
          </w:tcPr>
          <w:p w14:paraId="42CC60B0" w14:textId="3FF4E14E" w:rsidR="001034AE" w:rsidRPr="001034AE" w:rsidRDefault="004126B4" w:rsidP="001034AE">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 xml:space="preserve">12 subcarriers, </w:t>
            </w:r>
            <w:r>
              <w:rPr>
                <w:rFonts w:ascii="Times New Roman" w:hAnsi="Times New Roman"/>
                <w:kern w:val="2"/>
                <w:lang w:val="en-US"/>
              </w:rPr>
              <w:t>1</w:t>
            </w:r>
            <w:r w:rsidRPr="001034AE">
              <w:rPr>
                <w:rFonts w:ascii="Times New Roman" w:hAnsi="Times New Roman"/>
                <w:kern w:val="2"/>
                <w:lang w:val="en-US"/>
              </w:rPr>
              <w:t>0 subframes</w:t>
            </w:r>
          </w:p>
        </w:tc>
      </w:tr>
      <w:tr w:rsidR="001034AE" w:rsidRPr="001034AE" w14:paraId="3F726373" w14:textId="77777777" w:rsidTr="001034AE">
        <w:trPr>
          <w:jc w:val="center"/>
        </w:trPr>
        <w:tc>
          <w:tcPr>
            <w:tcW w:w="1271" w:type="dxa"/>
            <w:vMerge/>
            <w:vAlign w:val="center"/>
          </w:tcPr>
          <w:p w14:paraId="59EF255E" w14:textId="679E6BE7" w:rsidR="001034AE" w:rsidRPr="001034AE" w:rsidRDefault="001034AE" w:rsidP="001034AE">
            <w:pPr>
              <w:overflowPunct/>
              <w:snapToGrid w:val="0"/>
              <w:spacing w:after="0"/>
              <w:textAlignment w:val="auto"/>
              <w:rPr>
                <w:rFonts w:ascii="Times New Roman" w:hAnsi="Times New Roman"/>
                <w:kern w:val="2"/>
                <w:lang w:val="en-US"/>
              </w:rPr>
            </w:pPr>
          </w:p>
        </w:tc>
        <w:tc>
          <w:tcPr>
            <w:tcW w:w="1985" w:type="dxa"/>
            <w:vAlign w:val="center"/>
          </w:tcPr>
          <w:p w14:paraId="467965D2"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154</w:t>
            </w:r>
          </w:p>
        </w:tc>
        <w:tc>
          <w:tcPr>
            <w:tcW w:w="1842" w:type="dxa"/>
          </w:tcPr>
          <w:p w14:paraId="3A440334"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10</w:t>
            </w:r>
          </w:p>
        </w:tc>
        <w:tc>
          <w:tcPr>
            <w:tcW w:w="1276" w:type="dxa"/>
            <w:vAlign w:val="center"/>
          </w:tcPr>
          <w:p w14:paraId="5E3BBA87"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32</w:t>
            </w:r>
          </w:p>
        </w:tc>
        <w:tc>
          <w:tcPr>
            <w:tcW w:w="2835" w:type="dxa"/>
            <w:vAlign w:val="center"/>
          </w:tcPr>
          <w:p w14:paraId="346FC8AD" w14:textId="77777777" w:rsidR="001034AE" w:rsidRPr="001034AE" w:rsidRDefault="001034AE" w:rsidP="001034AE">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320 subframes</w:t>
            </w:r>
          </w:p>
        </w:tc>
      </w:tr>
      <w:tr w:rsidR="001034AE" w:rsidRPr="001034AE" w14:paraId="7B364043" w14:textId="77777777" w:rsidTr="001034AE">
        <w:trPr>
          <w:jc w:val="center"/>
        </w:trPr>
        <w:tc>
          <w:tcPr>
            <w:tcW w:w="1271" w:type="dxa"/>
            <w:vMerge/>
            <w:vAlign w:val="center"/>
          </w:tcPr>
          <w:p w14:paraId="225DFB03" w14:textId="77777777" w:rsidR="001034AE" w:rsidRPr="001034AE" w:rsidRDefault="001034AE" w:rsidP="001034AE">
            <w:pPr>
              <w:overflowPunct/>
              <w:snapToGrid w:val="0"/>
              <w:spacing w:after="0"/>
              <w:textAlignment w:val="auto"/>
              <w:rPr>
                <w:rFonts w:ascii="Times New Roman" w:hAnsi="Times New Roman"/>
                <w:kern w:val="2"/>
                <w:lang w:val="en-US"/>
              </w:rPr>
            </w:pPr>
          </w:p>
        </w:tc>
        <w:tc>
          <w:tcPr>
            <w:tcW w:w="1985" w:type="dxa"/>
            <w:vAlign w:val="center"/>
          </w:tcPr>
          <w:p w14:paraId="0A735977"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164</w:t>
            </w:r>
          </w:p>
        </w:tc>
        <w:tc>
          <w:tcPr>
            <w:tcW w:w="1842" w:type="dxa"/>
          </w:tcPr>
          <w:p w14:paraId="063BE6A0"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10</w:t>
            </w:r>
          </w:p>
        </w:tc>
        <w:tc>
          <w:tcPr>
            <w:tcW w:w="1276" w:type="dxa"/>
            <w:vAlign w:val="center"/>
          </w:tcPr>
          <w:p w14:paraId="430B4B09"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128</w:t>
            </w:r>
          </w:p>
        </w:tc>
        <w:tc>
          <w:tcPr>
            <w:tcW w:w="2835" w:type="dxa"/>
            <w:vAlign w:val="center"/>
          </w:tcPr>
          <w:p w14:paraId="234A79FA" w14:textId="77777777" w:rsidR="001034AE" w:rsidRPr="001034AE" w:rsidRDefault="001034AE" w:rsidP="001034AE">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1280 subframes</w:t>
            </w:r>
          </w:p>
        </w:tc>
      </w:tr>
      <w:tr w:rsidR="001034AE" w:rsidRPr="001034AE" w14:paraId="2FA88128" w14:textId="77777777" w:rsidTr="001034AE">
        <w:trPr>
          <w:jc w:val="center"/>
        </w:trPr>
        <w:tc>
          <w:tcPr>
            <w:tcW w:w="1271" w:type="dxa"/>
            <w:vMerge w:val="restart"/>
            <w:vAlign w:val="center"/>
          </w:tcPr>
          <w:p w14:paraId="0F83F132" w14:textId="132F89CE" w:rsidR="001034AE" w:rsidRPr="001034AE" w:rsidRDefault="001034AE" w:rsidP="001034AE">
            <w:pPr>
              <w:snapToGrid w:val="0"/>
              <w:spacing w:after="0"/>
              <w:rPr>
                <w:rFonts w:ascii="Times New Roman" w:hAnsi="Times New Roman"/>
                <w:kern w:val="2"/>
                <w:lang w:val="en-US"/>
              </w:rPr>
            </w:pPr>
            <w:r w:rsidRPr="001034AE">
              <w:rPr>
                <w:rFonts w:ascii="Times New Roman" w:hAnsi="Times New Roman" w:hint="eastAsia"/>
                <w:kern w:val="2"/>
                <w:lang w:val="en-US"/>
              </w:rPr>
              <w:t>Standalone</w:t>
            </w:r>
          </w:p>
        </w:tc>
        <w:tc>
          <w:tcPr>
            <w:tcW w:w="1985" w:type="dxa"/>
            <w:vAlign w:val="center"/>
          </w:tcPr>
          <w:p w14:paraId="53C8C409" w14:textId="25A75BA5" w:rsidR="001034AE" w:rsidRPr="001034AE" w:rsidRDefault="001034AE" w:rsidP="001034AE">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144</w:t>
            </w:r>
          </w:p>
        </w:tc>
        <w:tc>
          <w:tcPr>
            <w:tcW w:w="1842" w:type="dxa"/>
          </w:tcPr>
          <w:p w14:paraId="581561F0" w14:textId="530E4A2F" w:rsidR="001034AE" w:rsidRPr="001034AE" w:rsidRDefault="004126B4" w:rsidP="001034AE">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4</w:t>
            </w:r>
          </w:p>
        </w:tc>
        <w:tc>
          <w:tcPr>
            <w:tcW w:w="1276" w:type="dxa"/>
            <w:vAlign w:val="center"/>
          </w:tcPr>
          <w:p w14:paraId="475B17C4" w14:textId="6063516A" w:rsidR="001034AE" w:rsidRPr="001034AE" w:rsidRDefault="004126B4" w:rsidP="001034AE">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w:t>
            </w:r>
          </w:p>
        </w:tc>
        <w:tc>
          <w:tcPr>
            <w:tcW w:w="2835" w:type="dxa"/>
            <w:vAlign w:val="center"/>
          </w:tcPr>
          <w:p w14:paraId="0CABA368" w14:textId="38EF13F0" w:rsidR="001034AE" w:rsidRPr="001034AE" w:rsidRDefault="004126B4" w:rsidP="001034AE">
            <w:pPr>
              <w:overflowPunct/>
              <w:snapToGrid w:val="0"/>
              <w:spacing w:after="0"/>
              <w:textAlignment w:val="auto"/>
              <w:rPr>
                <w:rFonts w:ascii="Times New Roman" w:hAnsi="Times New Roman"/>
                <w:kern w:val="2"/>
                <w:lang w:val="en-US"/>
              </w:rPr>
            </w:pPr>
            <w:r>
              <w:rPr>
                <w:rFonts w:ascii="Times New Roman" w:hAnsi="Times New Roman"/>
                <w:kern w:val="2"/>
                <w:lang w:val="en-US"/>
              </w:rPr>
              <w:t>12 subcarriers, 4</w:t>
            </w:r>
            <w:r w:rsidRPr="001034AE">
              <w:rPr>
                <w:rFonts w:ascii="Times New Roman" w:hAnsi="Times New Roman"/>
                <w:kern w:val="2"/>
                <w:lang w:val="en-US"/>
              </w:rPr>
              <w:t xml:space="preserve"> subframes</w:t>
            </w:r>
          </w:p>
        </w:tc>
      </w:tr>
      <w:tr w:rsidR="001034AE" w:rsidRPr="001034AE" w14:paraId="1C3E19A6" w14:textId="77777777" w:rsidTr="001034AE">
        <w:trPr>
          <w:jc w:val="center"/>
        </w:trPr>
        <w:tc>
          <w:tcPr>
            <w:tcW w:w="1271" w:type="dxa"/>
            <w:vMerge/>
            <w:vAlign w:val="center"/>
          </w:tcPr>
          <w:p w14:paraId="6B4C3F60" w14:textId="3F2896D7" w:rsidR="001034AE" w:rsidRPr="001034AE" w:rsidRDefault="001034AE" w:rsidP="001034AE">
            <w:pPr>
              <w:overflowPunct/>
              <w:snapToGrid w:val="0"/>
              <w:spacing w:after="0"/>
              <w:textAlignment w:val="auto"/>
              <w:rPr>
                <w:rFonts w:ascii="Times New Roman" w:hAnsi="Times New Roman"/>
                <w:kern w:val="2"/>
                <w:lang w:val="en-US"/>
              </w:rPr>
            </w:pPr>
          </w:p>
        </w:tc>
        <w:tc>
          <w:tcPr>
            <w:tcW w:w="1985" w:type="dxa"/>
            <w:vAlign w:val="center"/>
          </w:tcPr>
          <w:p w14:paraId="67283B96"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154</w:t>
            </w:r>
          </w:p>
        </w:tc>
        <w:tc>
          <w:tcPr>
            <w:tcW w:w="1842" w:type="dxa"/>
          </w:tcPr>
          <w:p w14:paraId="0D82D11F"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10</w:t>
            </w:r>
          </w:p>
        </w:tc>
        <w:tc>
          <w:tcPr>
            <w:tcW w:w="1276" w:type="dxa"/>
            <w:vAlign w:val="center"/>
          </w:tcPr>
          <w:p w14:paraId="6E9D4DC1"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2</w:t>
            </w:r>
          </w:p>
        </w:tc>
        <w:tc>
          <w:tcPr>
            <w:tcW w:w="2835" w:type="dxa"/>
            <w:vAlign w:val="center"/>
          </w:tcPr>
          <w:p w14:paraId="23BCC77F" w14:textId="77777777" w:rsidR="001034AE" w:rsidRPr="001034AE" w:rsidRDefault="001034AE" w:rsidP="001034AE">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20 subframes</w:t>
            </w:r>
          </w:p>
        </w:tc>
      </w:tr>
      <w:tr w:rsidR="001034AE" w:rsidRPr="001034AE" w14:paraId="7D6BC4AD" w14:textId="77777777" w:rsidTr="001034AE">
        <w:trPr>
          <w:jc w:val="center"/>
        </w:trPr>
        <w:tc>
          <w:tcPr>
            <w:tcW w:w="1271" w:type="dxa"/>
            <w:vMerge/>
            <w:vAlign w:val="center"/>
          </w:tcPr>
          <w:p w14:paraId="156AA5DC" w14:textId="77777777" w:rsidR="001034AE" w:rsidRPr="001034AE" w:rsidRDefault="001034AE" w:rsidP="001034AE">
            <w:pPr>
              <w:overflowPunct/>
              <w:snapToGrid w:val="0"/>
              <w:spacing w:after="0"/>
              <w:textAlignment w:val="auto"/>
              <w:rPr>
                <w:rFonts w:ascii="Times New Roman" w:hAnsi="Times New Roman"/>
                <w:kern w:val="2"/>
                <w:lang w:val="en-US"/>
              </w:rPr>
            </w:pPr>
          </w:p>
        </w:tc>
        <w:tc>
          <w:tcPr>
            <w:tcW w:w="1985" w:type="dxa"/>
            <w:vAlign w:val="center"/>
          </w:tcPr>
          <w:p w14:paraId="3769B75F"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164</w:t>
            </w:r>
          </w:p>
        </w:tc>
        <w:tc>
          <w:tcPr>
            <w:tcW w:w="1842" w:type="dxa"/>
          </w:tcPr>
          <w:p w14:paraId="6DAC982B"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10</w:t>
            </w:r>
          </w:p>
        </w:tc>
        <w:tc>
          <w:tcPr>
            <w:tcW w:w="1276" w:type="dxa"/>
            <w:vAlign w:val="center"/>
          </w:tcPr>
          <w:p w14:paraId="11568F9A"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16</w:t>
            </w:r>
          </w:p>
        </w:tc>
        <w:tc>
          <w:tcPr>
            <w:tcW w:w="2835" w:type="dxa"/>
            <w:vAlign w:val="center"/>
          </w:tcPr>
          <w:p w14:paraId="40CFC2AA" w14:textId="77777777" w:rsidR="001034AE" w:rsidRPr="001034AE" w:rsidRDefault="001034AE" w:rsidP="001034AE">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160 subframes</w:t>
            </w:r>
          </w:p>
        </w:tc>
      </w:tr>
    </w:tbl>
    <w:p w14:paraId="3E1896CC" w14:textId="77777777" w:rsidR="001034AE" w:rsidRDefault="001034AE" w:rsidP="00982157"/>
    <w:p w14:paraId="46E7E53D" w14:textId="770F019D" w:rsidR="0051757A" w:rsidRDefault="0051757A" w:rsidP="0051757A">
      <w:pPr>
        <w:pStyle w:val="Heading2"/>
      </w:pPr>
      <w:r w:rsidRPr="0051757A">
        <w:t>Calculations of resources for paging</w:t>
      </w:r>
    </w:p>
    <w:p w14:paraId="35624874" w14:textId="0A820EE6" w:rsidR="001E2B4E" w:rsidRPr="00613B9F" w:rsidRDefault="0051757A" w:rsidP="001E2B4E">
      <w:pPr>
        <w:rPr>
          <w:rFonts w:eastAsia="SimSun"/>
          <w:kern w:val="2"/>
        </w:rPr>
      </w:pPr>
      <w:r>
        <w:t>As mentioned before, when the network pages a UE, it appends assisting information in the paging request sent from MME to the eNB in order for the eNB to decide how much paging resources should be used</w:t>
      </w:r>
      <w:r w:rsidR="0081313C">
        <w:t>, at least for the first paging attempt</w:t>
      </w:r>
      <w:r>
        <w:t xml:space="preserve">. </w:t>
      </w:r>
      <w:r w:rsidR="001E2B4E">
        <w:t xml:space="preserve">We assume </w:t>
      </w:r>
      <w:r w:rsidR="00985BCB">
        <w:t xml:space="preserve">a 20% ratio for network command. </w:t>
      </w:r>
      <w:r w:rsidR="001E2B4E">
        <w:t>In TR45.820, a total number of 52,574 UEs are assumed in a cell. Therefore, t</w:t>
      </w:r>
      <w:r w:rsidR="001E2B4E" w:rsidRPr="00613B9F">
        <w:rPr>
          <w:rFonts w:eastAsia="SimSun"/>
          <w:kern w:val="2"/>
        </w:rPr>
        <w:t>he number of paging occurrences pe</w:t>
      </w:r>
      <w:r w:rsidR="001E2B4E">
        <w:rPr>
          <w:rFonts w:eastAsia="SimSun"/>
          <w:kern w:val="2"/>
        </w:rPr>
        <w:t>r minute in each cell is</w:t>
      </w:r>
      <w:r w:rsidR="001E2B4E" w:rsidRPr="00613B9F">
        <w:rPr>
          <w:rFonts w:eastAsia="SimSun"/>
          <w:kern w:val="2"/>
        </w:rPr>
        <w:t>.</w:t>
      </w:r>
    </w:p>
    <w:p w14:paraId="16824CE8" w14:textId="0E42EAFC" w:rsidR="001E2B4E" w:rsidRPr="001E2B4E" w:rsidRDefault="000A62BD" w:rsidP="001E2B4E">
      <w:pPr>
        <w:jc w:val="center"/>
        <w:rPr>
          <w:rFonts w:eastAsia="SimSun"/>
        </w:rPr>
      </w:pPr>
      <m:oMathPara>
        <m:oMath>
          <m:sSub>
            <m:sSubPr>
              <m:ctrlPr>
                <w:rPr>
                  <w:rFonts w:ascii="Cambria Math" w:eastAsia="SimSun" w:hAnsi="Cambria Math"/>
                  <w:kern w:val="2"/>
                </w:rPr>
              </m:ctrlPr>
            </m:sSubPr>
            <m:e>
              <m:r>
                <w:rPr>
                  <w:rFonts w:ascii="Cambria Math" w:eastAsia="SimSun" w:hAnsi="Cambria Math"/>
                  <w:kern w:val="2"/>
                </w:rPr>
                <m:t>N</m:t>
              </m:r>
            </m:e>
            <m:sub>
              <m:r>
                <w:rPr>
                  <w:rFonts w:ascii="Cambria Math" w:eastAsia="SimSun" w:hAnsi="Cambria Math"/>
                  <w:kern w:val="2"/>
                </w:rPr>
                <m:t>paging</m:t>
              </m:r>
            </m:sub>
          </m:sSub>
          <m:r>
            <w:rPr>
              <w:rFonts w:ascii="Cambria Math" w:eastAsia="SimSun" w:hAnsi="Cambria Math"/>
              <w:kern w:val="2"/>
            </w:rPr>
            <m:t>=</m:t>
          </m:r>
          <m:f>
            <m:fPr>
              <m:ctrlPr>
                <w:rPr>
                  <w:rFonts w:ascii="Cambria Math" w:hAnsi="Cambria Math"/>
                </w:rPr>
              </m:ctrlPr>
            </m:fPr>
            <m:num>
              <m:r>
                <w:rPr>
                  <w:rFonts w:ascii="Cambria Math" w:eastAsia="SimSun" w:hAnsi="Cambria Math"/>
                  <w:kern w:val="2"/>
                </w:rPr>
                <m:t>11.2</m:t>
              </m:r>
              <m:r>
                <m:rPr>
                  <m:sty m:val="p"/>
                </m:rPr>
                <w:rPr>
                  <w:rFonts w:ascii="Cambria Math" w:eastAsia="SimSun" w:hAnsi="Cambria Math"/>
                  <w:kern w:val="2"/>
                </w:rPr>
                <m:t>*</m:t>
              </m:r>
              <m:r>
                <w:rPr>
                  <w:rFonts w:ascii="Cambria Math" w:eastAsia="SimSun" w:hAnsi="Cambria Math"/>
                  <w:kern w:val="2"/>
                </w:rPr>
                <m:t xml:space="preserve"> 0.2*</m:t>
              </m:r>
              <m:r>
                <m:rPr>
                  <m:sty m:val="p"/>
                </m:rPr>
                <w:rPr>
                  <w:rFonts w:ascii="Cambria Math" w:hAnsi="Cambria Math"/>
                </w:rPr>
                <m:t>52574</m:t>
              </m:r>
            </m:num>
            <m:den>
              <m:r>
                <w:rPr>
                  <w:rFonts w:ascii="Cambria Math" w:hAnsi="Cambria Math"/>
                </w:rPr>
                <m:t>24*60</m:t>
              </m:r>
            </m:den>
          </m:f>
          <m:r>
            <m:rPr>
              <m:sty m:val="p"/>
            </m:rPr>
            <w:rPr>
              <w:rFonts w:ascii="Cambria Math"/>
            </w:rPr>
            <m:t xml:space="preserve">~=82 </m:t>
          </m:r>
        </m:oMath>
      </m:oMathPara>
    </w:p>
    <w:p w14:paraId="7E74C164" w14:textId="1A3511B8" w:rsidR="00073D30" w:rsidRDefault="001E2B4E" w:rsidP="0051757A">
      <w:r>
        <w:t>We assume the UE distribution is according to</w:t>
      </w:r>
      <w:r w:rsidR="00073D30">
        <w:t xml:space="preserve"> the worst case given</w:t>
      </w:r>
      <w:r>
        <w:t xml:space="preserve"> </w:t>
      </w:r>
      <w:r>
        <w:fldChar w:fldCharType="begin"/>
      </w:r>
      <w:r>
        <w:instrText xml:space="preserve"> REF _Ref462316973 \h </w:instrText>
      </w:r>
      <w:r>
        <w:fldChar w:fldCharType="separate"/>
      </w:r>
      <w:r w:rsidR="00FF1302">
        <w:t xml:space="preserve">Figure </w:t>
      </w:r>
      <w:r w:rsidR="00FF1302">
        <w:rPr>
          <w:noProof/>
        </w:rPr>
        <w:t>1</w:t>
      </w:r>
      <w:r>
        <w:fldChar w:fldCharType="end"/>
      </w:r>
      <w:r>
        <w:t>, and</w:t>
      </w:r>
      <w:r w:rsidR="00073D30">
        <w:t xml:space="preserve"> we have 72 UEs are with MCL less than 144 dB, 7 UEs are with MCL between 144 dB and 154 dB, and 3 UEs are with MCL larger than 154 dB. By using the link level simulation results, we can do the following calculations for inband and standalone, respectively. </w:t>
      </w:r>
    </w:p>
    <w:p w14:paraId="195715DC" w14:textId="1CC4C9AF" w:rsidR="003319FA" w:rsidRDefault="00073D30" w:rsidP="003319FA">
      <w:r>
        <w:t xml:space="preserve">For inband and NPDSCH only </w:t>
      </w:r>
      <w:r w:rsidR="00E6282D">
        <w:t>carrying</w:t>
      </w:r>
      <w:r>
        <w:t xml:space="preserve"> a single UE ID, in total 72 * (4+</w:t>
      </w:r>
      <w:r w:rsidR="00E6282D">
        <w:t>8</w:t>
      </w:r>
      <w:r>
        <w:t>) + 7 * (8+16) + 3 * (128+256)</w:t>
      </w:r>
      <w:r w:rsidR="00E6282D">
        <w:t xml:space="preserve"> = </w:t>
      </w:r>
      <w:r w:rsidR="00E6282D" w:rsidRPr="00E6282D">
        <w:t>2184</w:t>
      </w:r>
      <w:r w:rsidR="00E6282D">
        <w:t xml:space="preserve"> SFs are need for paging</w:t>
      </w:r>
      <w:r w:rsidR="003B72EC">
        <w:t>, which corresponds to 3.6% of the total resource in one minute</w:t>
      </w:r>
      <w:r w:rsidR="00E6282D">
        <w:t xml:space="preserve">. </w:t>
      </w:r>
      <w:r w:rsidR="003319FA">
        <w:t xml:space="preserve">For standalone and NPDSCH only carrying a </w:t>
      </w:r>
      <w:r w:rsidR="00562812">
        <w:t>single UE ID, in total 72 * (1+1</w:t>
      </w:r>
      <w:r w:rsidR="003319FA">
        <w:t xml:space="preserve">) + 7 * (1+2) + 3 * (8+16) = </w:t>
      </w:r>
      <w:r w:rsidR="00562812">
        <w:t>237</w:t>
      </w:r>
      <w:r w:rsidR="003B72EC">
        <w:t xml:space="preserve"> SFs are need for </w:t>
      </w:r>
      <w:r w:rsidR="00562812">
        <w:t>paging, which corresponds to 0.4</w:t>
      </w:r>
      <w:r w:rsidR="003B72EC">
        <w:t>% of the total resource in one minute.</w:t>
      </w:r>
    </w:p>
    <w:p w14:paraId="77A70F9E" w14:textId="5ED5B420" w:rsidR="003319FA" w:rsidRDefault="003319FA" w:rsidP="003319FA">
      <w:r>
        <w:t>For the case that NPDSCH carriers 16 UE IDs, we need to group 16 UEs together. Therefore, we assume 64 UEs are with MCL less than 144 dB (4 NPDCCH and NPDSCH are needed), and 15 UEs are with MCL between 144 dB and 154 dB (1 NPDCCH and 1 NPDSCH are needed), and 3 UEs are with MCL larger than 154 dB (1 NPDCCH and 1 NPDSCH are needed).</w:t>
      </w:r>
    </w:p>
    <w:p w14:paraId="67C139FF" w14:textId="010278DB" w:rsidR="003319FA" w:rsidRDefault="003319FA" w:rsidP="00E6282D">
      <w:r>
        <w:t>For inband and NPDSCH only carrying 16 UE IDs, in total 4 * (4+10) + 1 * (8+320) + 1 * (128+1280) = 1792 SFs are need for paging</w:t>
      </w:r>
      <w:r w:rsidR="003B72EC">
        <w:t>, which corresponds to 3.0% of the total resource in one minute.</w:t>
      </w:r>
      <w:r>
        <w:t xml:space="preserve"> For standalone and NPDSCH carrying </w:t>
      </w:r>
      <w:r w:rsidR="00AB0CF8">
        <w:t>16</w:t>
      </w:r>
      <w:r>
        <w:t xml:space="preserve"> UE ID</w:t>
      </w:r>
      <w:r w:rsidR="00AB0CF8">
        <w:t>s</w:t>
      </w:r>
      <w:r>
        <w:t xml:space="preserve">, in total </w:t>
      </w:r>
      <w:r w:rsidR="00AB0CF8">
        <w:t xml:space="preserve">4 * (1+4) + 1 * (1+20) + 1 * (8+160) = 209 </w:t>
      </w:r>
      <w:r>
        <w:t>SFs are need for paging</w:t>
      </w:r>
      <w:r w:rsidR="003B72EC">
        <w:t>, which corresponds to 0.3% of the total resource in one minute.</w:t>
      </w:r>
      <w:r>
        <w:t xml:space="preserve"> </w:t>
      </w:r>
    </w:p>
    <w:p w14:paraId="6E0E0609" w14:textId="01302E08" w:rsidR="003B72EC" w:rsidRDefault="003B72EC" w:rsidP="00E6282D">
      <w:r>
        <w:t xml:space="preserve">Therefore, to support 52,574 UEs in a cell with 20% network command, the paging overhead is very low. We repeat the same calculations for the cases with 60% network command and 100,000 UEs, respectively. And the results are summarized in </w:t>
      </w:r>
      <w:r w:rsidR="0081313C">
        <w:fldChar w:fldCharType="begin"/>
      </w:r>
      <w:r w:rsidR="0081313C">
        <w:instrText xml:space="preserve"> REF _Ref463030348 \h </w:instrText>
      </w:r>
      <w:r w:rsidR="0081313C">
        <w:instrText xml:space="preserve"> \* MERGEFORMAT </w:instrText>
      </w:r>
      <w:r w:rsidR="0081313C">
        <w:fldChar w:fldCharType="separate"/>
      </w:r>
      <w:r w:rsidR="00FF1302" w:rsidRPr="00FF1302">
        <w:t>Table 4</w:t>
      </w:r>
      <w:r w:rsidR="0081313C">
        <w:fldChar w:fldCharType="end"/>
      </w:r>
      <w:r w:rsidR="0081313C">
        <w:t xml:space="preserve"> and </w:t>
      </w:r>
      <w:r w:rsidR="0081313C">
        <w:fldChar w:fldCharType="begin"/>
      </w:r>
      <w:r w:rsidR="0081313C">
        <w:instrText xml:space="preserve"> REF _Ref463030351 \h </w:instrText>
      </w:r>
      <w:r w:rsidR="0081313C">
        <w:instrText xml:space="preserve"> \* MERGEFORMAT </w:instrText>
      </w:r>
      <w:r w:rsidR="0081313C">
        <w:fldChar w:fldCharType="separate"/>
      </w:r>
      <w:r w:rsidR="00FF1302" w:rsidRPr="00FF1302">
        <w:t>Table 5</w:t>
      </w:r>
      <w:r w:rsidR="0081313C">
        <w:fldChar w:fldCharType="end"/>
      </w:r>
      <w:r w:rsidR="0081313C">
        <w:t xml:space="preserve">. </w:t>
      </w:r>
    </w:p>
    <w:p w14:paraId="3C429FF2" w14:textId="52D9FCEB" w:rsidR="003B72EC" w:rsidRPr="001034AE" w:rsidRDefault="003B72EC" w:rsidP="003B72EC">
      <w:pPr>
        <w:overflowPunct/>
        <w:snapToGrid w:val="0"/>
        <w:jc w:val="center"/>
        <w:textAlignment w:val="auto"/>
        <w:rPr>
          <w:rFonts w:ascii="Times New Roman" w:eastAsia="SimSun" w:hAnsi="Times New Roman"/>
          <w:b/>
          <w:bCs/>
          <w:kern w:val="2"/>
          <w:sz w:val="21"/>
          <w:szCs w:val="22"/>
          <w:lang w:val="en-US"/>
        </w:rPr>
      </w:pPr>
      <w:bookmarkStart w:id="6" w:name="_Ref463030336"/>
      <w:bookmarkStart w:id="7" w:name="_Ref463030348"/>
      <w:r w:rsidRPr="001034AE">
        <w:rPr>
          <w:rFonts w:ascii="Times New Roman" w:eastAsia="SimSun" w:hAnsi="Times New Roman"/>
          <w:b/>
          <w:bCs/>
          <w:kern w:val="2"/>
          <w:sz w:val="21"/>
          <w:szCs w:val="22"/>
          <w:lang w:val="en-US"/>
        </w:rPr>
        <w:t xml:space="preserve">Table </w:t>
      </w:r>
      <w:r w:rsidRPr="001034AE">
        <w:rPr>
          <w:rFonts w:ascii="Times New Roman" w:eastAsia="SimSun" w:hAnsi="Times New Roman"/>
          <w:b/>
          <w:bCs/>
          <w:kern w:val="2"/>
          <w:sz w:val="21"/>
          <w:szCs w:val="22"/>
          <w:lang w:val="en-US"/>
        </w:rPr>
        <w:fldChar w:fldCharType="begin"/>
      </w:r>
      <w:r w:rsidRPr="001034AE">
        <w:rPr>
          <w:rFonts w:ascii="Times New Roman" w:eastAsia="SimSun" w:hAnsi="Times New Roman"/>
          <w:b/>
          <w:bCs/>
          <w:kern w:val="2"/>
          <w:sz w:val="21"/>
          <w:szCs w:val="22"/>
          <w:lang w:val="en-US"/>
        </w:rPr>
        <w:instrText xml:space="preserve"> SEQ Table \* ARABIC </w:instrText>
      </w:r>
      <w:r w:rsidRPr="001034AE">
        <w:rPr>
          <w:rFonts w:ascii="Times New Roman" w:eastAsia="SimSun" w:hAnsi="Times New Roman"/>
          <w:b/>
          <w:bCs/>
          <w:kern w:val="2"/>
          <w:sz w:val="21"/>
          <w:szCs w:val="22"/>
          <w:lang w:val="en-US"/>
        </w:rPr>
        <w:fldChar w:fldCharType="separate"/>
      </w:r>
      <w:r w:rsidR="00FF1302">
        <w:rPr>
          <w:rFonts w:ascii="Times New Roman" w:eastAsia="SimSun" w:hAnsi="Times New Roman"/>
          <w:b/>
          <w:bCs/>
          <w:noProof/>
          <w:kern w:val="2"/>
          <w:sz w:val="21"/>
          <w:szCs w:val="22"/>
          <w:lang w:val="en-US"/>
        </w:rPr>
        <w:t>4</w:t>
      </w:r>
      <w:r w:rsidRPr="001034AE">
        <w:rPr>
          <w:rFonts w:ascii="Times New Roman" w:eastAsia="SimSun" w:hAnsi="Times New Roman"/>
          <w:b/>
          <w:bCs/>
          <w:kern w:val="2"/>
          <w:sz w:val="21"/>
          <w:szCs w:val="22"/>
          <w:lang w:val="en-US"/>
        </w:rPr>
        <w:fldChar w:fldCharType="end"/>
      </w:r>
      <w:bookmarkEnd w:id="7"/>
      <w:r w:rsidRPr="001034AE">
        <w:rPr>
          <w:rFonts w:ascii="Times New Roman" w:eastAsia="SimSun" w:hAnsi="Times New Roman"/>
          <w:b/>
          <w:bCs/>
          <w:kern w:val="2"/>
          <w:sz w:val="21"/>
          <w:szCs w:val="22"/>
          <w:lang w:val="en-US"/>
        </w:rPr>
        <w:t xml:space="preserve">  </w:t>
      </w:r>
      <w:r>
        <w:rPr>
          <w:rFonts w:ascii="Times New Roman" w:eastAsia="SimSun" w:hAnsi="Times New Roman"/>
          <w:b/>
          <w:bCs/>
          <w:kern w:val="2"/>
          <w:sz w:val="21"/>
          <w:szCs w:val="22"/>
          <w:lang w:val="en-US"/>
        </w:rPr>
        <w:t>Normalized paging r</w:t>
      </w:r>
      <w:r w:rsidRPr="001034AE">
        <w:rPr>
          <w:rFonts w:ascii="Times New Roman" w:eastAsia="SimSun" w:hAnsi="Times New Roman"/>
          <w:b/>
          <w:bCs/>
          <w:kern w:val="2"/>
          <w:sz w:val="21"/>
          <w:szCs w:val="22"/>
          <w:lang w:val="en-US"/>
        </w:rPr>
        <w:t xml:space="preserve">esources </w:t>
      </w:r>
      <w:r>
        <w:rPr>
          <w:rFonts w:ascii="Times New Roman" w:eastAsia="SimSun" w:hAnsi="Times New Roman"/>
          <w:b/>
          <w:bCs/>
          <w:kern w:val="2"/>
          <w:sz w:val="21"/>
          <w:szCs w:val="22"/>
          <w:lang w:val="en-US"/>
        </w:rPr>
        <w:t>usage</w:t>
      </w:r>
      <w:r w:rsidR="00CE722B">
        <w:rPr>
          <w:rFonts w:ascii="Times New Roman" w:eastAsia="SimSun" w:hAnsi="Times New Roman"/>
          <w:b/>
          <w:bCs/>
          <w:kern w:val="2"/>
          <w:sz w:val="21"/>
          <w:szCs w:val="22"/>
          <w:lang w:val="en-US"/>
        </w:rPr>
        <w:t xml:space="preserve"> assuming 16 UE IDs per paging message</w:t>
      </w:r>
      <w:bookmarkEnd w:id="6"/>
    </w:p>
    <w:tbl>
      <w:tblPr>
        <w:tblStyle w:val="TableGrid11"/>
        <w:tblW w:w="8949" w:type="dxa"/>
        <w:jc w:val="center"/>
        <w:tblLook w:val="04A0" w:firstRow="1" w:lastRow="0" w:firstColumn="1" w:lastColumn="0" w:noHBand="0" w:noVBand="1"/>
      </w:tblPr>
      <w:tblGrid>
        <w:gridCol w:w="3481"/>
        <w:gridCol w:w="3230"/>
        <w:gridCol w:w="2238"/>
      </w:tblGrid>
      <w:tr w:rsidR="003B72EC" w:rsidRPr="001034AE" w14:paraId="5238D578" w14:textId="77777777" w:rsidTr="00CE722B">
        <w:trPr>
          <w:trHeight w:val="233"/>
          <w:jc w:val="center"/>
        </w:trPr>
        <w:tc>
          <w:tcPr>
            <w:tcW w:w="3481" w:type="dxa"/>
            <w:vAlign w:val="center"/>
          </w:tcPr>
          <w:p w14:paraId="6596EE14" w14:textId="091032A1" w:rsidR="003B72EC" w:rsidRPr="00CE722B" w:rsidRDefault="003B72EC"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kern w:val="2"/>
                <w:lang w:val="en-US"/>
              </w:rPr>
              <w:t>Number of UEs</w:t>
            </w:r>
          </w:p>
        </w:tc>
        <w:tc>
          <w:tcPr>
            <w:tcW w:w="3230" w:type="dxa"/>
          </w:tcPr>
          <w:p w14:paraId="6A38632F" w14:textId="0493E969" w:rsidR="003B72EC" w:rsidRPr="00CE722B" w:rsidRDefault="003B72EC"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52,574</w:t>
            </w:r>
          </w:p>
        </w:tc>
        <w:tc>
          <w:tcPr>
            <w:tcW w:w="2238" w:type="dxa"/>
            <w:vAlign w:val="center"/>
          </w:tcPr>
          <w:p w14:paraId="1041EDD3" w14:textId="5D4F2E40" w:rsidR="003B72EC" w:rsidRPr="00CE722B" w:rsidRDefault="003B72EC"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100,000</w:t>
            </w:r>
          </w:p>
        </w:tc>
      </w:tr>
      <w:tr w:rsidR="003B72EC" w:rsidRPr="001034AE" w14:paraId="305E7629" w14:textId="77777777" w:rsidTr="0071049D">
        <w:trPr>
          <w:trHeight w:val="468"/>
          <w:jc w:val="center"/>
        </w:trPr>
        <w:tc>
          <w:tcPr>
            <w:tcW w:w="3481" w:type="dxa"/>
            <w:vAlign w:val="center"/>
          </w:tcPr>
          <w:p w14:paraId="77FD0FEC" w14:textId="328355B0" w:rsidR="003B72EC"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 xml:space="preserve">Inband, </w:t>
            </w:r>
            <w:r w:rsidR="003B72EC" w:rsidRPr="00CE722B">
              <w:rPr>
                <w:rFonts w:ascii="Times New Roman" w:hAnsi="Times New Roman"/>
              </w:rPr>
              <w:t>20% network command</w:t>
            </w:r>
          </w:p>
        </w:tc>
        <w:tc>
          <w:tcPr>
            <w:tcW w:w="3230" w:type="dxa"/>
            <w:vAlign w:val="center"/>
          </w:tcPr>
          <w:p w14:paraId="4258DB47" w14:textId="00BDB7DA" w:rsidR="003B72EC" w:rsidRPr="00CE722B" w:rsidRDefault="0071049D" w:rsidP="00FD64D5">
            <w:pPr>
              <w:overflowPunct/>
              <w:snapToGrid w:val="0"/>
              <w:spacing w:after="0"/>
              <w:jc w:val="center"/>
              <w:textAlignment w:val="auto"/>
              <w:rPr>
                <w:rFonts w:ascii="Times New Roman" w:hAnsi="Times New Roman"/>
                <w:kern w:val="2"/>
                <w:lang w:val="en-US"/>
              </w:rPr>
            </w:pPr>
            <w:r>
              <w:t>3.0%</w:t>
            </w:r>
          </w:p>
        </w:tc>
        <w:tc>
          <w:tcPr>
            <w:tcW w:w="2238" w:type="dxa"/>
            <w:vAlign w:val="center"/>
          </w:tcPr>
          <w:p w14:paraId="65E10716" w14:textId="1F79B9D5" w:rsidR="003B72EC" w:rsidRPr="00CE722B" w:rsidRDefault="0041413E"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3.6%</w:t>
            </w:r>
          </w:p>
        </w:tc>
      </w:tr>
      <w:tr w:rsidR="003B72EC" w:rsidRPr="001034AE" w14:paraId="5AB3F944" w14:textId="77777777" w:rsidTr="0071049D">
        <w:trPr>
          <w:trHeight w:val="456"/>
          <w:jc w:val="center"/>
        </w:trPr>
        <w:tc>
          <w:tcPr>
            <w:tcW w:w="3481" w:type="dxa"/>
            <w:vAlign w:val="center"/>
          </w:tcPr>
          <w:p w14:paraId="03E68BA7" w14:textId="12F4E23A" w:rsidR="003B72EC"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Inband, 60% network command</w:t>
            </w:r>
          </w:p>
        </w:tc>
        <w:tc>
          <w:tcPr>
            <w:tcW w:w="3230" w:type="dxa"/>
            <w:vAlign w:val="center"/>
          </w:tcPr>
          <w:p w14:paraId="3E8847E8" w14:textId="0BC27BD6" w:rsidR="003B72EC" w:rsidRPr="00CE722B" w:rsidRDefault="00A8266A"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3.7</w:t>
            </w:r>
            <w:r w:rsidR="00A86F8B">
              <w:rPr>
                <w:rFonts w:ascii="Times New Roman" w:hAnsi="Times New Roman"/>
                <w:kern w:val="2"/>
                <w:lang w:val="en-US"/>
              </w:rPr>
              <w:t>%</w:t>
            </w:r>
          </w:p>
        </w:tc>
        <w:tc>
          <w:tcPr>
            <w:tcW w:w="2238" w:type="dxa"/>
            <w:vAlign w:val="center"/>
          </w:tcPr>
          <w:p w14:paraId="0D3B58A4" w14:textId="0C88998C" w:rsidR="003B72EC" w:rsidRPr="00CE722B" w:rsidRDefault="00180ACF"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5.1%</w:t>
            </w:r>
          </w:p>
        </w:tc>
      </w:tr>
      <w:tr w:rsidR="003B72EC" w:rsidRPr="001034AE" w14:paraId="3E0B8D66" w14:textId="77777777" w:rsidTr="0071049D">
        <w:trPr>
          <w:trHeight w:val="468"/>
          <w:jc w:val="center"/>
        </w:trPr>
        <w:tc>
          <w:tcPr>
            <w:tcW w:w="3481" w:type="dxa"/>
            <w:vAlign w:val="center"/>
          </w:tcPr>
          <w:p w14:paraId="3E4784D4" w14:textId="03F639FB" w:rsidR="003B72EC"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Standalone, 20% network command</w:t>
            </w:r>
          </w:p>
        </w:tc>
        <w:tc>
          <w:tcPr>
            <w:tcW w:w="3230" w:type="dxa"/>
            <w:vAlign w:val="center"/>
          </w:tcPr>
          <w:p w14:paraId="58BF8B49" w14:textId="1C832388" w:rsidR="003B72EC" w:rsidRPr="00CE722B" w:rsidRDefault="0071049D" w:rsidP="00FD64D5">
            <w:pPr>
              <w:overflowPunct/>
              <w:snapToGrid w:val="0"/>
              <w:spacing w:after="0"/>
              <w:jc w:val="center"/>
              <w:textAlignment w:val="auto"/>
              <w:rPr>
                <w:rFonts w:ascii="Times New Roman" w:hAnsi="Times New Roman"/>
                <w:kern w:val="2"/>
                <w:lang w:val="en-US"/>
              </w:rPr>
            </w:pPr>
            <w:r>
              <w:t>0.3%</w:t>
            </w:r>
          </w:p>
        </w:tc>
        <w:tc>
          <w:tcPr>
            <w:tcW w:w="2238" w:type="dxa"/>
            <w:vAlign w:val="center"/>
          </w:tcPr>
          <w:p w14:paraId="474F5A4B" w14:textId="54116689" w:rsidR="003B72EC" w:rsidRPr="00CE722B" w:rsidRDefault="0041413E"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0.4%</w:t>
            </w:r>
          </w:p>
        </w:tc>
      </w:tr>
      <w:tr w:rsidR="003B72EC" w:rsidRPr="001034AE" w14:paraId="53CC6598" w14:textId="77777777" w:rsidTr="0071049D">
        <w:trPr>
          <w:trHeight w:val="468"/>
          <w:jc w:val="center"/>
        </w:trPr>
        <w:tc>
          <w:tcPr>
            <w:tcW w:w="3481" w:type="dxa"/>
            <w:vAlign w:val="center"/>
          </w:tcPr>
          <w:p w14:paraId="12115834" w14:textId="6269D8EB" w:rsidR="003B72EC"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Standalone, 60% network command</w:t>
            </w:r>
          </w:p>
        </w:tc>
        <w:tc>
          <w:tcPr>
            <w:tcW w:w="3230" w:type="dxa"/>
            <w:vAlign w:val="center"/>
          </w:tcPr>
          <w:p w14:paraId="3E718008" w14:textId="1D10D3B1" w:rsidR="003B72EC" w:rsidRPr="00CE722B" w:rsidRDefault="00A86F8B"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0.5%</w:t>
            </w:r>
          </w:p>
        </w:tc>
        <w:tc>
          <w:tcPr>
            <w:tcW w:w="2238" w:type="dxa"/>
            <w:vAlign w:val="center"/>
          </w:tcPr>
          <w:p w14:paraId="23499524" w14:textId="66F90589" w:rsidR="003B72EC" w:rsidRPr="00CE722B" w:rsidRDefault="00180ACF"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0.6%</w:t>
            </w:r>
          </w:p>
        </w:tc>
      </w:tr>
    </w:tbl>
    <w:p w14:paraId="30BD1AF2" w14:textId="77777777" w:rsidR="003B72EC" w:rsidRDefault="003B72EC" w:rsidP="003B72EC"/>
    <w:p w14:paraId="593A5C4A" w14:textId="5C4D1F04" w:rsidR="00CE722B" w:rsidRPr="001034AE" w:rsidRDefault="00CE722B" w:rsidP="00CE722B">
      <w:pPr>
        <w:overflowPunct/>
        <w:snapToGrid w:val="0"/>
        <w:jc w:val="center"/>
        <w:textAlignment w:val="auto"/>
        <w:rPr>
          <w:rFonts w:ascii="Times New Roman" w:eastAsia="SimSun" w:hAnsi="Times New Roman"/>
          <w:b/>
          <w:bCs/>
          <w:kern w:val="2"/>
          <w:sz w:val="21"/>
          <w:szCs w:val="22"/>
          <w:lang w:val="en-US"/>
        </w:rPr>
      </w:pPr>
      <w:bookmarkStart w:id="8" w:name="_Ref463030351"/>
      <w:r w:rsidRPr="001034AE">
        <w:rPr>
          <w:rFonts w:ascii="Times New Roman" w:eastAsia="SimSun" w:hAnsi="Times New Roman"/>
          <w:b/>
          <w:bCs/>
          <w:kern w:val="2"/>
          <w:sz w:val="21"/>
          <w:szCs w:val="22"/>
          <w:lang w:val="en-US"/>
        </w:rPr>
        <w:t xml:space="preserve">Table </w:t>
      </w:r>
      <w:r w:rsidRPr="001034AE">
        <w:rPr>
          <w:rFonts w:ascii="Times New Roman" w:eastAsia="SimSun" w:hAnsi="Times New Roman"/>
          <w:b/>
          <w:bCs/>
          <w:kern w:val="2"/>
          <w:sz w:val="21"/>
          <w:szCs w:val="22"/>
          <w:lang w:val="en-US"/>
        </w:rPr>
        <w:fldChar w:fldCharType="begin"/>
      </w:r>
      <w:r w:rsidRPr="001034AE">
        <w:rPr>
          <w:rFonts w:ascii="Times New Roman" w:eastAsia="SimSun" w:hAnsi="Times New Roman"/>
          <w:b/>
          <w:bCs/>
          <w:kern w:val="2"/>
          <w:sz w:val="21"/>
          <w:szCs w:val="22"/>
          <w:lang w:val="en-US"/>
        </w:rPr>
        <w:instrText xml:space="preserve"> SEQ Table \* ARABIC </w:instrText>
      </w:r>
      <w:r w:rsidRPr="001034AE">
        <w:rPr>
          <w:rFonts w:ascii="Times New Roman" w:eastAsia="SimSun" w:hAnsi="Times New Roman"/>
          <w:b/>
          <w:bCs/>
          <w:kern w:val="2"/>
          <w:sz w:val="21"/>
          <w:szCs w:val="22"/>
          <w:lang w:val="en-US"/>
        </w:rPr>
        <w:fldChar w:fldCharType="separate"/>
      </w:r>
      <w:r w:rsidR="00FF1302">
        <w:rPr>
          <w:rFonts w:ascii="Times New Roman" w:eastAsia="SimSun" w:hAnsi="Times New Roman"/>
          <w:b/>
          <w:bCs/>
          <w:noProof/>
          <w:kern w:val="2"/>
          <w:sz w:val="21"/>
          <w:szCs w:val="22"/>
          <w:lang w:val="en-US"/>
        </w:rPr>
        <w:t>5</w:t>
      </w:r>
      <w:r w:rsidRPr="001034AE">
        <w:rPr>
          <w:rFonts w:ascii="Times New Roman" w:eastAsia="SimSun" w:hAnsi="Times New Roman"/>
          <w:b/>
          <w:bCs/>
          <w:kern w:val="2"/>
          <w:sz w:val="21"/>
          <w:szCs w:val="22"/>
          <w:lang w:val="en-US"/>
        </w:rPr>
        <w:fldChar w:fldCharType="end"/>
      </w:r>
      <w:bookmarkEnd w:id="8"/>
      <w:r w:rsidRPr="001034AE">
        <w:rPr>
          <w:rFonts w:ascii="Times New Roman" w:eastAsia="SimSun" w:hAnsi="Times New Roman"/>
          <w:b/>
          <w:bCs/>
          <w:kern w:val="2"/>
          <w:sz w:val="21"/>
          <w:szCs w:val="22"/>
          <w:lang w:val="en-US"/>
        </w:rPr>
        <w:t xml:space="preserve">  </w:t>
      </w:r>
      <w:r>
        <w:rPr>
          <w:rFonts w:ascii="Times New Roman" w:eastAsia="SimSun" w:hAnsi="Times New Roman"/>
          <w:b/>
          <w:bCs/>
          <w:kern w:val="2"/>
          <w:sz w:val="21"/>
          <w:szCs w:val="22"/>
          <w:lang w:val="en-US"/>
        </w:rPr>
        <w:t>Normalized paging r</w:t>
      </w:r>
      <w:r w:rsidRPr="001034AE">
        <w:rPr>
          <w:rFonts w:ascii="Times New Roman" w:eastAsia="SimSun" w:hAnsi="Times New Roman"/>
          <w:b/>
          <w:bCs/>
          <w:kern w:val="2"/>
          <w:sz w:val="21"/>
          <w:szCs w:val="22"/>
          <w:lang w:val="en-US"/>
        </w:rPr>
        <w:t xml:space="preserve">esources </w:t>
      </w:r>
      <w:r>
        <w:rPr>
          <w:rFonts w:ascii="Times New Roman" w:eastAsia="SimSun" w:hAnsi="Times New Roman"/>
          <w:b/>
          <w:bCs/>
          <w:kern w:val="2"/>
          <w:sz w:val="21"/>
          <w:szCs w:val="22"/>
          <w:lang w:val="en-US"/>
        </w:rPr>
        <w:t>usage assuming one UE IDs per paging message</w:t>
      </w:r>
    </w:p>
    <w:tbl>
      <w:tblPr>
        <w:tblStyle w:val="TableGrid11"/>
        <w:tblW w:w="8949" w:type="dxa"/>
        <w:jc w:val="center"/>
        <w:tblLook w:val="04A0" w:firstRow="1" w:lastRow="0" w:firstColumn="1" w:lastColumn="0" w:noHBand="0" w:noVBand="1"/>
      </w:tblPr>
      <w:tblGrid>
        <w:gridCol w:w="3481"/>
        <w:gridCol w:w="3230"/>
        <w:gridCol w:w="2238"/>
      </w:tblGrid>
      <w:tr w:rsidR="00CE722B" w:rsidRPr="001034AE" w14:paraId="7BBA3AEF" w14:textId="77777777" w:rsidTr="00FD64D5">
        <w:trPr>
          <w:trHeight w:val="233"/>
          <w:jc w:val="center"/>
        </w:trPr>
        <w:tc>
          <w:tcPr>
            <w:tcW w:w="3481" w:type="dxa"/>
            <w:vAlign w:val="center"/>
          </w:tcPr>
          <w:p w14:paraId="2EF3657D" w14:textId="77777777" w:rsidR="00CE722B"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kern w:val="2"/>
                <w:lang w:val="en-US"/>
              </w:rPr>
              <w:t>Number of UEs</w:t>
            </w:r>
          </w:p>
        </w:tc>
        <w:tc>
          <w:tcPr>
            <w:tcW w:w="3230" w:type="dxa"/>
          </w:tcPr>
          <w:p w14:paraId="4A8947BF" w14:textId="77777777" w:rsidR="00CE722B"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52,574</w:t>
            </w:r>
          </w:p>
        </w:tc>
        <w:tc>
          <w:tcPr>
            <w:tcW w:w="2238" w:type="dxa"/>
            <w:vAlign w:val="center"/>
          </w:tcPr>
          <w:p w14:paraId="0F925457" w14:textId="77777777" w:rsidR="00CE722B"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100,000</w:t>
            </w:r>
          </w:p>
        </w:tc>
      </w:tr>
      <w:tr w:rsidR="00CE722B" w:rsidRPr="001034AE" w14:paraId="192DE796" w14:textId="77777777" w:rsidTr="0071049D">
        <w:trPr>
          <w:trHeight w:val="468"/>
          <w:jc w:val="center"/>
        </w:trPr>
        <w:tc>
          <w:tcPr>
            <w:tcW w:w="3481" w:type="dxa"/>
            <w:vAlign w:val="center"/>
          </w:tcPr>
          <w:p w14:paraId="3273DEE8" w14:textId="77777777" w:rsidR="00CE722B"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Inband, 20% network command</w:t>
            </w:r>
          </w:p>
        </w:tc>
        <w:tc>
          <w:tcPr>
            <w:tcW w:w="3230" w:type="dxa"/>
            <w:vAlign w:val="center"/>
          </w:tcPr>
          <w:p w14:paraId="223B3C54" w14:textId="0F80E028" w:rsidR="00CE722B" w:rsidRPr="00CE722B" w:rsidRDefault="0071049D" w:rsidP="00FD64D5">
            <w:pPr>
              <w:overflowPunct/>
              <w:snapToGrid w:val="0"/>
              <w:spacing w:after="0"/>
              <w:jc w:val="center"/>
              <w:textAlignment w:val="auto"/>
              <w:rPr>
                <w:rFonts w:ascii="Times New Roman" w:hAnsi="Times New Roman"/>
                <w:kern w:val="2"/>
                <w:lang w:val="en-US"/>
              </w:rPr>
            </w:pPr>
            <w:r>
              <w:t>3.6%</w:t>
            </w:r>
          </w:p>
        </w:tc>
        <w:tc>
          <w:tcPr>
            <w:tcW w:w="2238" w:type="dxa"/>
            <w:vAlign w:val="center"/>
          </w:tcPr>
          <w:p w14:paraId="55863862" w14:textId="178DA48B" w:rsidR="00CE722B" w:rsidRPr="00CE722B" w:rsidRDefault="008C5E5C"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5.8%</w:t>
            </w:r>
          </w:p>
        </w:tc>
      </w:tr>
      <w:tr w:rsidR="00CE722B" w:rsidRPr="001034AE" w14:paraId="42A2CF36" w14:textId="77777777" w:rsidTr="0071049D">
        <w:trPr>
          <w:trHeight w:val="456"/>
          <w:jc w:val="center"/>
        </w:trPr>
        <w:tc>
          <w:tcPr>
            <w:tcW w:w="3481" w:type="dxa"/>
            <w:vAlign w:val="center"/>
          </w:tcPr>
          <w:p w14:paraId="111A331F" w14:textId="77777777" w:rsidR="00CE722B"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Inband, 60% network command</w:t>
            </w:r>
          </w:p>
        </w:tc>
        <w:tc>
          <w:tcPr>
            <w:tcW w:w="3230" w:type="dxa"/>
            <w:vAlign w:val="center"/>
          </w:tcPr>
          <w:p w14:paraId="3527E6A2" w14:textId="5498A222" w:rsidR="00CE722B" w:rsidRPr="00CE722B" w:rsidRDefault="00A86F8B"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9.7%</w:t>
            </w:r>
          </w:p>
        </w:tc>
        <w:tc>
          <w:tcPr>
            <w:tcW w:w="2238" w:type="dxa"/>
            <w:vAlign w:val="center"/>
          </w:tcPr>
          <w:p w14:paraId="56C79B6F" w14:textId="61F40A89" w:rsidR="00CE722B" w:rsidRPr="00CE722B" w:rsidRDefault="008C5E5C"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18.2%</w:t>
            </w:r>
          </w:p>
        </w:tc>
      </w:tr>
      <w:tr w:rsidR="00CE722B" w:rsidRPr="001034AE" w14:paraId="572A5FC9" w14:textId="77777777" w:rsidTr="0071049D">
        <w:trPr>
          <w:trHeight w:val="468"/>
          <w:jc w:val="center"/>
        </w:trPr>
        <w:tc>
          <w:tcPr>
            <w:tcW w:w="3481" w:type="dxa"/>
            <w:vAlign w:val="center"/>
          </w:tcPr>
          <w:p w14:paraId="7AF414F1" w14:textId="77777777" w:rsidR="00CE722B"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Standalone, 20% network command</w:t>
            </w:r>
          </w:p>
        </w:tc>
        <w:tc>
          <w:tcPr>
            <w:tcW w:w="3230" w:type="dxa"/>
            <w:vAlign w:val="center"/>
          </w:tcPr>
          <w:p w14:paraId="00D468F3" w14:textId="2FF9172F" w:rsidR="00CE722B" w:rsidRPr="00CE722B" w:rsidRDefault="00562812" w:rsidP="00FD64D5">
            <w:pPr>
              <w:overflowPunct/>
              <w:snapToGrid w:val="0"/>
              <w:spacing w:after="0"/>
              <w:jc w:val="center"/>
              <w:textAlignment w:val="auto"/>
              <w:rPr>
                <w:rFonts w:ascii="Times New Roman" w:hAnsi="Times New Roman"/>
                <w:kern w:val="2"/>
                <w:lang w:val="en-US"/>
              </w:rPr>
            </w:pPr>
            <w:r>
              <w:t>0.4</w:t>
            </w:r>
            <w:r w:rsidR="0071049D">
              <w:t>%</w:t>
            </w:r>
          </w:p>
        </w:tc>
        <w:tc>
          <w:tcPr>
            <w:tcW w:w="2238" w:type="dxa"/>
            <w:vAlign w:val="center"/>
          </w:tcPr>
          <w:p w14:paraId="6FCAEE71" w14:textId="46D5956C" w:rsidR="00CE722B" w:rsidRPr="00CE722B" w:rsidRDefault="00EC3C42"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0.7</w:t>
            </w:r>
            <w:r w:rsidR="008C5E5C">
              <w:rPr>
                <w:rFonts w:ascii="Times New Roman" w:hAnsi="Times New Roman"/>
                <w:kern w:val="2"/>
                <w:lang w:val="en-US"/>
              </w:rPr>
              <w:t>%</w:t>
            </w:r>
          </w:p>
        </w:tc>
      </w:tr>
      <w:tr w:rsidR="00CE722B" w:rsidRPr="001034AE" w14:paraId="5158F521" w14:textId="77777777" w:rsidTr="0071049D">
        <w:trPr>
          <w:trHeight w:val="468"/>
          <w:jc w:val="center"/>
        </w:trPr>
        <w:tc>
          <w:tcPr>
            <w:tcW w:w="3481" w:type="dxa"/>
            <w:vAlign w:val="center"/>
          </w:tcPr>
          <w:p w14:paraId="0FA97545" w14:textId="77777777" w:rsidR="00CE722B"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Standalone, 60% network command</w:t>
            </w:r>
          </w:p>
        </w:tc>
        <w:tc>
          <w:tcPr>
            <w:tcW w:w="3230" w:type="dxa"/>
            <w:vAlign w:val="center"/>
          </w:tcPr>
          <w:p w14:paraId="730483F9" w14:textId="3DA5E0D4" w:rsidR="00CE722B" w:rsidRPr="00CE722B" w:rsidRDefault="006A1701"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1.1</w:t>
            </w:r>
            <w:r w:rsidR="00A86F8B">
              <w:rPr>
                <w:rFonts w:ascii="Times New Roman" w:hAnsi="Times New Roman"/>
                <w:kern w:val="2"/>
                <w:lang w:val="en-US"/>
              </w:rPr>
              <w:t>%</w:t>
            </w:r>
          </w:p>
        </w:tc>
        <w:tc>
          <w:tcPr>
            <w:tcW w:w="2238" w:type="dxa"/>
            <w:vAlign w:val="center"/>
          </w:tcPr>
          <w:p w14:paraId="0F47D23C" w14:textId="397AD80A" w:rsidR="00CE722B" w:rsidRPr="00CE722B" w:rsidRDefault="006A1701"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2.1</w:t>
            </w:r>
            <w:r w:rsidR="008C5E5C">
              <w:rPr>
                <w:rFonts w:ascii="Times New Roman" w:hAnsi="Times New Roman"/>
                <w:kern w:val="2"/>
                <w:lang w:val="en-US"/>
              </w:rPr>
              <w:t>%</w:t>
            </w:r>
          </w:p>
        </w:tc>
      </w:tr>
    </w:tbl>
    <w:p w14:paraId="5CC0C8B4" w14:textId="77777777" w:rsidR="00CE722B" w:rsidRDefault="00CE722B" w:rsidP="00CE722B"/>
    <w:p w14:paraId="73DBD614" w14:textId="20C9A0C3" w:rsidR="001034AE" w:rsidRDefault="004E0445" w:rsidP="00982157">
      <w:r>
        <w:t xml:space="preserve">From the results from </w:t>
      </w:r>
      <w:r w:rsidR="0081313C">
        <w:fldChar w:fldCharType="begin"/>
      </w:r>
      <w:r w:rsidR="0081313C">
        <w:instrText xml:space="preserve"> REF _Ref463030348 \h </w:instrText>
      </w:r>
      <w:r w:rsidR="0081313C">
        <w:instrText xml:space="preserve"> \* MERGEFORMAT </w:instrText>
      </w:r>
      <w:r w:rsidR="0081313C">
        <w:fldChar w:fldCharType="separate"/>
      </w:r>
      <w:r w:rsidR="00FF1302" w:rsidRPr="00FF1302">
        <w:t>Table 4</w:t>
      </w:r>
      <w:r w:rsidR="0081313C">
        <w:fldChar w:fldCharType="end"/>
      </w:r>
      <w:r w:rsidR="0081313C">
        <w:t xml:space="preserve"> and </w:t>
      </w:r>
      <w:r w:rsidR="0081313C">
        <w:fldChar w:fldCharType="begin"/>
      </w:r>
      <w:r w:rsidR="0081313C">
        <w:instrText xml:space="preserve"> REF _Ref463030351 \h </w:instrText>
      </w:r>
      <w:r w:rsidR="0081313C">
        <w:instrText xml:space="preserve"> \* MERGEFORMAT </w:instrText>
      </w:r>
      <w:r w:rsidR="0081313C">
        <w:fldChar w:fldCharType="separate"/>
      </w:r>
      <w:r w:rsidR="00FF1302" w:rsidRPr="00FF1302">
        <w:t>Table 5</w:t>
      </w:r>
      <w:r w:rsidR="0081313C">
        <w:fldChar w:fldCharType="end"/>
      </w:r>
      <w:r w:rsidR="0081313C">
        <w:t xml:space="preserve">, </w:t>
      </w:r>
      <w:r>
        <w:t xml:space="preserve">we can see that the paging resource usage for supporting the target number of UEs given in TR45.820, i.e., 52,574 UEs per cell is maximum 3.6% for 20% network </w:t>
      </w:r>
      <w:r>
        <w:lastRenderedPageBreak/>
        <w:t xml:space="preserve">command, and </w:t>
      </w:r>
      <w:r w:rsidR="0081313C">
        <w:t>never</w:t>
      </w:r>
      <w:r>
        <w:t xml:space="preserve"> exceed 10% for 60% network command. Even after increasing the number to 100,000 UEs per cell, the paging resource usage for the worst case is still below 20%. Therefore, there is no concerns about the paging capacity </w:t>
      </w:r>
      <w:r w:rsidR="000E6640">
        <w:t>for the Rel-13 NB-IoT design.</w:t>
      </w:r>
    </w:p>
    <w:p w14:paraId="41829E15" w14:textId="11A41C01" w:rsidR="001034AE" w:rsidRDefault="000E6640" w:rsidP="00DC7C59">
      <w:pPr>
        <w:ind w:left="1560" w:hanging="1560"/>
      </w:pPr>
      <w:r w:rsidRPr="00EF60FC">
        <w:rPr>
          <w:rFonts w:ascii="Times New Roman" w:hAnsi="Times New Roman"/>
          <w:b/>
          <w:bCs/>
          <w:i/>
        </w:rPr>
        <w:t xml:space="preserve">Observation </w:t>
      </w:r>
      <w:r w:rsidR="0066595C">
        <w:rPr>
          <w:rFonts w:ascii="Times New Roman" w:hAnsi="Times New Roman"/>
          <w:b/>
          <w:bCs/>
          <w:i/>
        </w:rPr>
        <w:t>5</w:t>
      </w:r>
      <w:r w:rsidRPr="00EF60FC">
        <w:rPr>
          <w:rFonts w:ascii="Times New Roman" w:hAnsi="Times New Roman"/>
          <w:b/>
          <w:bCs/>
          <w:i/>
        </w:rPr>
        <w:tab/>
      </w:r>
      <w:r>
        <w:rPr>
          <w:rFonts w:ascii="Times New Roman" w:hAnsi="Times New Roman"/>
          <w:b/>
          <w:bCs/>
          <w:i/>
        </w:rPr>
        <w:t xml:space="preserve">The paging capacity in Rel-13 NB-IoT design can well meet the targeted number of UEs per cell for both inband and standalone deployment. </w:t>
      </w:r>
    </w:p>
    <w:p w14:paraId="61C4CD6F" w14:textId="77777777" w:rsidR="00C01F33" w:rsidRPr="00CE0424" w:rsidRDefault="00C01F33" w:rsidP="00CE0424">
      <w:pPr>
        <w:pStyle w:val="Heading1"/>
      </w:pPr>
      <w:r w:rsidRPr="00CE0424">
        <w:t>Conclusion</w:t>
      </w:r>
    </w:p>
    <w:p w14:paraId="6E67BDEC" w14:textId="33809241" w:rsidR="000E6640" w:rsidRDefault="000E6640" w:rsidP="000E6640">
      <w:pPr>
        <w:pStyle w:val="Proposal"/>
        <w:numPr>
          <w:ilvl w:val="0"/>
          <w:numId w:val="0"/>
        </w:numPr>
        <w:tabs>
          <w:tab w:val="clear" w:pos="1701"/>
        </w:tabs>
        <w:rPr>
          <w:rFonts w:ascii="Times New Roman" w:hAnsi="Times New Roman"/>
          <w:b w:val="0"/>
        </w:rPr>
      </w:pPr>
      <w:r>
        <w:rPr>
          <w:rFonts w:ascii="Times New Roman" w:hAnsi="Times New Roman"/>
          <w:b w:val="0"/>
        </w:rPr>
        <w:t xml:space="preserve">From the analysis we can see that there are several factors that have been overlooked in </w:t>
      </w:r>
      <w:r w:rsidR="0066595C" w:rsidRPr="0066595C">
        <w:rPr>
          <w:rFonts w:ascii="Times New Roman" w:hAnsi="Times New Roman"/>
          <w:b w:val="0"/>
        </w:rPr>
        <w:fldChar w:fldCharType="begin"/>
      </w:r>
      <w:r w:rsidR="0066595C" w:rsidRPr="0066595C">
        <w:rPr>
          <w:rFonts w:ascii="Times New Roman" w:hAnsi="Times New Roman"/>
          <w:b w:val="0"/>
        </w:rPr>
        <w:instrText xml:space="preserve"> REF _Ref463027896 \r \h </w:instrText>
      </w:r>
      <w:r w:rsidR="0066595C" w:rsidRPr="0066595C">
        <w:rPr>
          <w:rFonts w:ascii="Times New Roman" w:hAnsi="Times New Roman"/>
          <w:b w:val="0"/>
        </w:rPr>
      </w:r>
      <w:r w:rsidR="0066595C">
        <w:rPr>
          <w:rFonts w:ascii="Times New Roman" w:hAnsi="Times New Roman"/>
          <w:b w:val="0"/>
        </w:rPr>
        <w:instrText xml:space="preserve"> \* MERGEFORMAT </w:instrText>
      </w:r>
      <w:r w:rsidR="0066595C" w:rsidRPr="0066595C">
        <w:rPr>
          <w:rFonts w:ascii="Times New Roman" w:hAnsi="Times New Roman"/>
          <w:b w:val="0"/>
        </w:rPr>
        <w:fldChar w:fldCharType="separate"/>
      </w:r>
      <w:r w:rsidR="00FF1302">
        <w:rPr>
          <w:rFonts w:ascii="Times New Roman" w:hAnsi="Times New Roman"/>
          <w:b w:val="0"/>
        </w:rPr>
        <w:t>[3]</w:t>
      </w:r>
      <w:r w:rsidR="0066595C" w:rsidRPr="0066595C">
        <w:rPr>
          <w:rFonts w:ascii="Times New Roman" w:hAnsi="Times New Roman"/>
          <w:b w:val="0"/>
        </w:rPr>
        <w:fldChar w:fldCharType="end"/>
      </w:r>
      <w:r>
        <w:rPr>
          <w:rFonts w:ascii="Times New Roman" w:hAnsi="Times New Roman"/>
          <w:b w:val="0"/>
        </w:rPr>
        <w:t xml:space="preserve"> when calculating the paging resource usage, which leads to misleading observations in </w:t>
      </w:r>
      <w:r w:rsidR="0066595C">
        <w:rPr>
          <w:rFonts w:ascii="Times New Roman" w:hAnsi="Times New Roman"/>
          <w:b w:val="0"/>
          <w:highlight w:val="yellow"/>
        </w:rPr>
        <w:fldChar w:fldCharType="begin"/>
      </w:r>
      <w:r w:rsidR="0066595C">
        <w:rPr>
          <w:rFonts w:ascii="Times New Roman" w:hAnsi="Times New Roman"/>
          <w:b w:val="0"/>
        </w:rPr>
        <w:instrText xml:space="preserve"> REF _Ref463027896 \r \h </w:instrText>
      </w:r>
      <w:r w:rsidR="0066595C">
        <w:rPr>
          <w:rFonts w:ascii="Times New Roman" w:hAnsi="Times New Roman"/>
          <w:b w:val="0"/>
          <w:highlight w:val="yellow"/>
        </w:rPr>
      </w:r>
      <w:r w:rsidR="0066595C">
        <w:rPr>
          <w:rFonts w:ascii="Times New Roman" w:hAnsi="Times New Roman"/>
          <w:b w:val="0"/>
          <w:highlight w:val="yellow"/>
        </w:rPr>
        <w:fldChar w:fldCharType="separate"/>
      </w:r>
      <w:r w:rsidR="00FF1302">
        <w:rPr>
          <w:rFonts w:ascii="Times New Roman" w:hAnsi="Times New Roman"/>
          <w:b w:val="0"/>
        </w:rPr>
        <w:t>[3]</w:t>
      </w:r>
      <w:r w:rsidR="0066595C">
        <w:rPr>
          <w:rFonts w:ascii="Times New Roman" w:hAnsi="Times New Roman"/>
          <w:b w:val="0"/>
          <w:highlight w:val="yellow"/>
        </w:rPr>
        <w:fldChar w:fldCharType="end"/>
      </w:r>
      <w:r>
        <w:rPr>
          <w:rFonts w:ascii="Times New Roman" w:hAnsi="Times New Roman"/>
          <w:b w:val="0"/>
        </w:rPr>
        <w:t xml:space="preserve">. In this contribution, we give a more reasonable results about paging resource usages based on practical scenarios. In conclusion, we have the following observations. </w:t>
      </w:r>
    </w:p>
    <w:p w14:paraId="350258D7" w14:textId="194EE68B" w:rsidR="00305FE7" w:rsidRDefault="00305FE7" w:rsidP="00305FE7">
      <w:pPr>
        <w:pStyle w:val="BodyText"/>
        <w:ind w:left="1560" w:hanging="1560"/>
        <w:rPr>
          <w:rFonts w:ascii="Times New Roman" w:hAnsi="Times New Roman"/>
          <w:b/>
          <w:bCs/>
          <w:i/>
        </w:rPr>
      </w:pPr>
      <w:r w:rsidRPr="00EF60FC">
        <w:rPr>
          <w:rFonts w:ascii="Times New Roman" w:hAnsi="Times New Roman"/>
          <w:b/>
          <w:bCs/>
          <w:i/>
        </w:rPr>
        <w:t>Observation 1</w:t>
      </w:r>
      <w:r w:rsidRPr="00EF60FC">
        <w:rPr>
          <w:rFonts w:ascii="Times New Roman" w:hAnsi="Times New Roman"/>
          <w:b/>
          <w:bCs/>
          <w:i/>
        </w:rPr>
        <w:tab/>
      </w:r>
      <w:r>
        <w:rPr>
          <w:rFonts w:ascii="Times New Roman" w:hAnsi="Times New Roman"/>
          <w:b/>
          <w:bCs/>
          <w:i/>
        </w:rPr>
        <w:t xml:space="preserve">Due to the traffic properties of </w:t>
      </w:r>
      <w:r w:rsidR="00362705">
        <w:rPr>
          <w:rFonts w:ascii="Times New Roman" w:hAnsi="Times New Roman"/>
          <w:b/>
          <w:bCs/>
          <w:i/>
        </w:rPr>
        <w:t>NB-</w:t>
      </w:r>
      <w:r>
        <w:rPr>
          <w:rFonts w:ascii="Times New Roman" w:hAnsi="Times New Roman"/>
          <w:b/>
          <w:bCs/>
          <w:i/>
        </w:rPr>
        <w:t xml:space="preserve">IoT applications, the ratio of the network commands among all traffics should not be too high. </w:t>
      </w:r>
    </w:p>
    <w:p w14:paraId="0E308CBB" w14:textId="77777777" w:rsidR="00305FE7" w:rsidRDefault="00305FE7" w:rsidP="00305FE7">
      <w:pPr>
        <w:pStyle w:val="BodyText"/>
        <w:ind w:left="1560" w:hanging="1560"/>
        <w:rPr>
          <w:rFonts w:ascii="Times New Roman" w:hAnsi="Times New Roman"/>
          <w:b/>
          <w:bCs/>
          <w:i/>
        </w:rPr>
      </w:pPr>
      <w:r w:rsidRPr="00EF60FC">
        <w:rPr>
          <w:rFonts w:ascii="Times New Roman" w:hAnsi="Times New Roman"/>
          <w:b/>
          <w:bCs/>
          <w:i/>
        </w:rPr>
        <w:t xml:space="preserve">Observation </w:t>
      </w:r>
      <w:r>
        <w:rPr>
          <w:rFonts w:ascii="Times New Roman" w:hAnsi="Times New Roman"/>
          <w:b/>
          <w:bCs/>
          <w:i/>
        </w:rPr>
        <w:t>2</w:t>
      </w:r>
      <w:r w:rsidRPr="00EF60FC">
        <w:rPr>
          <w:rFonts w:ascii="Times New Roman" w:hAnsi="Times New Roman"/>
          <w:b/>
          <w:bCs/>
          <w:i/>
        </w:rPr>
        <w:tab/>
      </w:r>
      <w:r>
        <w:rPr>
          <w:rFonts w:ascii="Times New Roman" w:hAnsi="Times New Roman"/>
          <w:b/>
          <w:bCs/>
          <w:i/>
        </w:rPr>
        <w:t xml:space="preserve">The information appended to paging request from MME to eNB contains enough information for the eNB to optimized the resource usage for paging. A reasonable eNB implementation would not blindly use the maximum resource for the first paging, in any case.  </w:t>
      </w:r>
    </w:p>
    <w:p w14:paraId="335DC204" w14:textId="013DA7E4" w:rsidR="00305FE7" w:rsidRDefault="00305FE7" w:rsidP="00305FE7">
      <w:pPr>
        <w:pStyle w:val="BodyText"/>
        <w:ind w:left="1560" w:hanging="1560"/>
        <w:rPr>
          <w:rFonts w:ascii="Times New Roman" w:hAnsi="Times New Roman"/>
          <w:b/>
          <w:bCs/>
          <w:i/>
        </w:rPr>
      </w:pPr>
      <w:r w:rsidRPr="00EF60FC">
        <w:rPr>
          <w:rFonts w:ascii="Times New Roman" w:hAnsi="Times New Roman"/>
          <w:b/>
          <w:bCs/>
          <w:i/>
        </w:rPr>
        <w:t xml:space="preserve">Observation </w:t>
      </w:r>
      <w:r>
        <w:rPr>
          <w:rFonts w:ascii="Times New Roman" w:hAnsi="Times New Roman"/>
          <w:b/>
          <w:bCs/>
          <w:i/>
        </w:rPr>
        <w:t>3</w:t>
      </w:r>
      <w:r w:rsidRPr="00EF60FC">
        <w:rPr>
          <w:rFonts w:ascii="Times New Roman" w:hAnsi="Times New Roman"/>
          <w:b/>
          <w:bCs/>
          <w:i/>
        </w:rPr>
        <w:tab/>
      </w:r>
      <w:r>
        <w:rPr>
          <w:rFonts w:ascii="Times New Roman" w:hAnsi="Times New Roman"/>
          <w:b/>
          <w:bCs/>
          <w:i/>
        </w:rPr>
        <w:t xml:space="preserve">In order to calculate the exact paging resource usage, error models, mobility models and a clearly defined paging </w:t>
      </w:r>
      <w:r w:rsidRPr="007A1322">
        <w:rPr>
          <w:rFonts w:ascii="Times New Roman" w:hAnsi="Times New Roman"/>
          <w:b/>
          <w:bCs/>
          <w:i/>
        </w:rPr>
        <w:t xml:space="preserve">strategy </w:t>
      </w:r>
      <w:r>
        <w:rPr>
          <w:rFonts w:ascii="Times New Roman" w:hAnsi="Times New Roman"/>
          <w:b/>
          <w:bCs/>
          <w:i/>
        </w:rPr>
        <w:t xml:space="preserve">are needed. </w:t>
      </w:r>
    </w:p>
    <w:p w14:paraId="7D95CF75" w14:textId="77777777" w:rsidR="00305FE7" w:rsidRDefault="00305FE7" w:rsidP="00305FE7">
      <w:pPr>
        <w:ind w:left="1560" w:hanging="1560"/>
      </w:pPr>
      <w:r w:rsidRPr="00EF60FC">
        <w:rPr>
          <w:rFonts w:ascii="Times New Roman" w:hAnsi="Times New Roman"/>
          <w:b/>
          <w:bCs/>
          <w:i/>
        </w:rPr>
        <w:t xml:space="preserve">Observation </w:t>
      </w:r>
      <w:r>
        <w:rPr>
          <w:rFonts w:ascii="Times New Roman" w:hAnsi="Times New Roman"/>
          <w:b/>
          <w:bCs/>
          <w:i/>
        </w:rPr>
        <w:t>4</w:t>
      </w:r>
      <w:r w:rsidRPr="00EF60FC">
        <w:rPr>
          <w:rFonts w:ascii="Times New Roman" w:hAnsi="Times New Roman"/>
          <w:b/>
          <w:bCs/>
          <w:i/>
        </w:rPr>
        <w:tab/>
      </w:r>
      <w:r>
        <w:rPr>
          <w:rFonts w:ascii="Times New Roman" w:hAnsi="Times New Roman"/>
          <w:b/>
          <w:bCs/>
          <w:i/>
        </w:rPr>
        <w:t xml:space="preserve">Due to the UE distribution and coverage statistics are known at the network, when </w:t>
      </w:r>
      <w:r w:rsidRPr="008445F5">
        <w:rPr>
          <w:rFonts w:ascii="Times New Roman" w:hAnsi="Times New Roman"/>
          <w:b/>
          <w:bCs/>
          <w:i/>
        </w:rPr>
        <w:t xml:space="preserve">calculating </w:t>
      </w:r>
      <w:r w:rsidRPr="009A3E7D">
        <w:rPr>
          <w:rFonts w:ascii="Times New Roman" w:hAnsi="Times New Roman"/>
          <w:b/>
          <w:bCs/>
          <w:i/>
        </w:rPr>
        <w:t>the paging resource, the UE distribution information cannot be ignore</w:t>
      </w:r>
      <w:bookmarkStart w:id="9" w:name="_GoBack"/>
      <w:bookmarkEnd w:id="9"/>
      <w:r w:rsidRPr="009A3E7D">
        <w:rPr>
          <w:rFonts w:ascii="Times New Roman" w:hAnsi="Times New Roman"/>
          <w:b/>
          <w:bCs/>
          <w:i/>
        </w:rPr>
        <w:t>d.</w:t>
      </w:r>
      <w:r>
        <w:t xml:space="preserve"> </w:t>
      </w:r>
      <w:r>
        <w:rPr>
          <w:rFonts w:ascii="Times New Roman" w:hAnsi="Times New Roman"/>
          <w:b/>
          <w:bCs/>
          <w:i/>
        </w:rPr>
        <w:t xml:space="preserve">   </w:t>
      </w:r>
    </w:p>
    <w:p w14:paraId="0A1E0E3C" w14:textId="77777777" w:rsidR="00305FE7" w:rsidRDefault="00305FE7" w:rsidP="00305FE7">
      <w:pPr>
        <w:ind w:left="1560" w:hanging="1560"/>
      </w:pPr>
      <w:r w:rsidRPr="00EF60FC">
        <w:rPr>
          <w:rFonts w:ascii="Times New Roman" w:hAnsi="Times New Roman"/>
          <w:b/>
          <w:bCs/>
          <w:i/>
        </w:rPr>
        <w:t xml:space="preserve">Observation </w:t>
      </w:r>
      <w:r>
        <w:rPr>
          <w:rFonts w:ascii="Times New Roman" w:hAnsi="Times New Roman"/>
          <w:b/>
          <w:bCs/>
          <w:i/>
        </w:rPr>
        <w:t>5</w:t>
      </w:r>
      <w:r w:rsidRPr="00EF60FC">
        <w:rPr>
          <w:rFonts w:ascii="Times New Roman" w:hAnsi="Times New Roman"/>
          <w:b/>
          <w:bCs/>
          <w:i/>
        </w:rPr>
        <w:tab/>
      </w:r>
      <w:r>
        <w:rPr>
          <w:rFonts w:ascii="Times New Roman" w:hAnsi="Times New Roman"/>
          <w:b/>
          <w:bCs/>
          <w:i/>
        </w:rPr>
        <w:t xml:space="preserve">The paging capacity in Rel-13 NB-IoT design can well meet the targeted number of UEs per cell for both inband and standalone deployment. </w:t>
      </w:r>
    </w:p>
    <w:p w14:paraId="2D255126" w14:textId="77777777" w:rsidR="00F507D1" w:rsidRPr="00CE0424" w:rsidRDefault="00F507D1" w:rsidP="00CE0424">
      <w:pPr>
        <w:pStyle w:val="Heading1"/>
      </w:pPr>
      <w:bookmarkStart w:id="10" w:name="_In-sequence_SDU_delivery"/>
      <w:bookmarkEnd w:id="10"/>
      <w:r w:rsidRPr="00CE0424">
        <w:t>References</w:t>
      </w:r>
    </w:p>
    <w:p w14:paraId="5AE9A603" w14:textId="77777777" w:rsidR="003A6173" w:rsidRDefault="003A6173" w:rsidP="003A6173">
      <w:pPr>
        <w:pStyle w:val="Reference"/>
        <w:rPr>
          <w:lang w:val="en-US"/>
        </w:rPr>
      </w:pPr>
      <w:bookmarkStart w:id="11" w:name="_Ref174151459"/>
      <w:bookmarkStart w:id="12" w:name="_Ref189809556"/>
      <w:bookmarkStart w:id="13" w:name="_Ref463015064"/>
      <w:bookmarkStart w:id="14" w:name="_Ref446350442"/>
      <w:bookmarkStart w:id="15" w:name="_Ref455671457"/>
      <w:r w:rsidRPr="00162DC8">
        <w:rPr>
          <w:noProof/>
          <w:lang w:val="en-US"/>
        </w:rPr>
        <w:t>RP-</w:t>
      </w:r>
      <w:r>
        <w:rPr>
          <w:noProof/>
          <w:lang w:val="en-US"/>
        </w:rPr>
        <w:t>161901</w:t>
      </w:r>
      <w:r w:rsidRPr="00F94ADB">
        <w:rPr>
          <w:noProof/>
          <w:lang w:val="en-US"/>
        </w:rPr>
        <w:t>,</w:t>
      </w:r>
      <w:bookmarkStart w:id="16" w:name="_Ref446603875"/>
      <w:bookmarkEnd w:id="14"/>
      <w:r>
        <w:rPr>
          <w:noProof/>
          <w:lang w:val="en-US"/>
        </w:rPr>
        <w:t xml:space="preserve"> </w:t>
      </w:r>
      <w:r w:rsidRPr="00F713E1">
        <w:rPr>
          <w:noProof/>
          <w:lang w:val="en-US"/>
        </w:rPr>
        <w:t>Revised work item proposal: Enhancements of NB-IoT</w:t>
      </w:r>
      <w:r>
        <w:rPr>
          <w:noProof/>
          <w:lang w:val="en-US"/>
        </w:rPr>
        <w:t xml:space="preserve">, Huawei, HiSilicon, 3GPP TSG RAN Meeting #73, </w:t>
      </w:r>
      <w:bookmarkEnd w:id="16"/>
      <w:r w:rsidRPr="00F713E1">
        <w:rPr>
          <w:noProof/>
          <w:lang w:val="en-US"/>
        </w:rPr>
        <w:t>New Orleans, USA, September 19-22, 2016</w:t>
      </w:r>
      <w:r>
        <w:rPr>
          <w:noProof/>
          <w:lang w:val="en-US"/>
        </w:rPr>
        <w:t>.</w:t>
      </w:r>
      <w:bookmarkEnd w:id="15"/>
    </w:p>
    <w:p w14:paraId="511AFB20" w14:textId="0B0B4446" w:rsidR="003A6173" w:rsidRDefault="003A6173" w:rsidP="003A6173">
      <w:pPr>
        <w:pStyle w:val="Reference"/>
        <w:rPr>
          <w:lang w:val="en-US"/>
        </w:rPr>
      </w:pPr>
      <w:bookmarkStart w:id="17" w:name="_Ref463027031"/>
      <w:r>
        <w:rPr>
          <w:lang w:val="en-US"/>
        </w:rPr>
        <w:t xml:space="preserve">3GPP TR45.820 </w:t>
      </w:r>
      <w:r w:rsidRPr="00C01E1E">
        <w:rPr>
          <w:lang w:val="en-US"/>
        </w:rPr>
        <w:t>Cellular system support for ultra-low complexity and low throughput Internet of Things (CIoT)</w:t>
      </w:r>
      <w:bookmarkEnd w:id="13"/>
      <w:bookmarkEnd w:id="17"/>
      <w:r w:rsidR="00DC7C59">
        <w:rPr>
          <w:lang w:val="en-US"/>
        </w:rPr>
        <w:t>.</w:t>
      </w:r>
    </w:p>
    <w:p w14:paraId="36E3E00F" w14:textId="0F2C9F99" w:rsidR="00DC7C59" w:rsidRDefault="00DC7C59" w:rsidP="00DC7C59">
      <w:pPr>
        <w:pStyle w:val="Reference"/>
        <w:rPr>
          <w:lang w:val="en-US"/>
        </w:rPr>
      </w:pPr>
      <w:bookmarkStart w:id="18" w:name="_Ref463027896"/>
      <w:r w:rsidRPr="00DC7C59">
        <w:rPr>
          <w:lang w:val="en-US"/>
        </w:rPr>
        <w:t>R1-166179</w:t>
      </w:r>
      <w:r>
        <w:rPr>
          <w:lang w:val="en-US"/>
        </w:rPr>
        <w:t xml:space="preserve">, </w:t>
      </w:r>
      <w:r w:rsidRPr="00DC7C59">
        <w:rPr>
          <w:lang w:val="en-US"/>
        </w:rPr>
        <w:t>On paging transmission on non-anchor NB-IoT PRB</w:t>
      </w:r>
      <w:r>
        <w:rPr>
          <w:lang w:val="en-US"/>
        </w:rPr>
        <w:t xml:space="preserve">, </w:t>
      </w:r>
      <w:r w:rsidRPr="00DC7C59">
        <w:rPr>
          <w:lang w:val="en-US"/>
        </w:rPr>
        <w:t>3GPP TSG RAN WG1 Meeting #86</w:t>
      </w:r>
      <w:r>
        <w:rPr>
          <w:lang w:val="en-US"/>
        </w:rPr>
        <w:t xml:space="preserve">, </w:t>
      </w:r>
      <w:r w:rsidRPr="00DC7C59">
        <w:rPr>
          <w:lang w:val="en-US"/>
        </w:rPr>
        <w:t>Gothenburg, Sweden, August 22-26, 2016</w:t>
      </w:r>
      <w:r>
        <w:rPr>
          <w:lang w:val="en-US"/>
        </w:rPr>
        <w:t>.</w:t>
      </w:r>
      <w:bookmarkEnd w:id="18"/>
      <w:r>
        <w:rPr>
          <w:lang w:val="en-US"/>
        </w:rPr>
        <w:t xml:space="preserve"> </w:t>
      </w:r>
    </w:p>
    <w:p w14:paraId="3DF357FF" w14:textId="08BA4F61" w:rsidR="00D6023A" w:rsidRPr="003A6173" w:rsidRDefault="00D6023A" w:rsidP="00DC7C59">
      <w:pPr>
        <w:pStyle w:val="Reference"/>
        <w:rPr>
          <w:lang w:val="en-US"/>
        </w:rPr>
      </w:pPr>
      <w:bookmarkStart w:id="19" w:name="_Ref463028429"/>
      <w:r>
        <w:rPr>
          <w:lang w:val="en-US"/>
        </w:rPr>
        <w:t xml:space="preserve">3GPP TS </w:t>
      </w:r>
      <w:r>
        <w:rPr>
          <w:rFonts w:cs="Arial"/>
          <w:color w:val="000000"/>
          <w:sz w:val="18"/>
          <w:szCs w:val="18"/>
        </w:rPr>
        <w:t>36.413</w:t>
      </w:r>
      <w:r>
        <w:rPr>
          <w:rFonts w:cs="Arial"/>
          <w:color w:val="000000"/>
          <w:sz w:val="18"/>
          <w:szCs w:val="18"/>
        </w:rPr>
        <w:t xml:space="preserve">, </w:t>
      </w:r>
      <w:r>
        <w:rPr>
          <w:rFonts w:cs="Arial"/>
          <w:color w:val="000000"/>
          <w:sz w:val="18"/>
          <w:szCs w:val="18"/>
        </w:rPr>
        <w:t>Evolved Universal Terrestrial Radio Access Network (E-UTRAN); S1 Application Protocol (S1AP)</w:t>
      </w:r>
      <w:bookmarkEnd w:id="19"/>
    </w:p>
    <w:p w14:paraId="1FD0CED0" w14:textId="77777777" w:rsidR="003A6173" w:rsidRDefault="003A6173" w:rsidP="003A6173">
      <w:pPr>
        <w:pStyle w:val="Reference"/>
        <w:numPr>
          <w:ilvl w:val="0"/>
          <w:numId w:val="0"/>
        </w:numPr>
        <w:ind w:left="567"/>
      </w:pPr>
    </w:p>
    <w:p w14:paraId="3917977B" w14:textId="77777777" w:rsidR="00FD2EC6" w:rsidRPr="00FD2EC6" w:rsidRDefault="00FD2EC6" w:rsidP="00552B17">
      <w:pPr>
        <w:pStyle w:val="Reference"/>
        <w:numPr>
          <w:ilvl w:val="0"/>
          <w:numId w:val="0"/>
        </w:numPr>
        <w:ind w:left="567"/>
        <w:rPr>
          <w:lang w:val="en-US"/>
        </w:rPr>
      </w:pPr>
    </w:p>
    <w:p w14:paraId="591B1237" w14:textId="77777777" w:rsidR="00FD2EC6" w:rsidRPr="00CE0424" w:rsidRDefault="00FD2EC6" w:rsidP="00FD2EC6">
      <w:pPr>
        <w:pStyle w:val="Reference"/>
        <w:numPr>
          <w:ilvl w:val="0"/>
          <w:numId w:val="0"/>
        </w:numPr>
      </w:pPr>
    </w:p>
    <w:bookmarkEnd w:id="11"/>
    <w:bookmarkEnd w:id="12"/>
    <w:p w14:paraId="7E969B39" w14:textId="77777777" w:rsidR="003A7EF3" w:rsidRPr="00CE0424" w:rsidRDefault="003A7EF3" w:rsidP="00CE0424">
      <w:pPr>
        <w:pStyle w:val="BodyText"/>
      </w:pPr>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92052" w14:textId="77777777" w:rsidR="000A62BD" w:rsidRDefault="000A62BD">
      <w:r>
        <w:separator/>
      </w:r>
    </w:p>
  </w:endnote>
  <w:endnote w:type="continuationSeparator" w:id="0">
    <w:p w14:paraId="162ACD30" w14:textId="77777777" w:rsidR="000A62BD" w:rsidRDefault="000A6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E66F5" w14:textId="054B002E" w:rsidR="00C55E4E" w:rsidRDefault="00C55E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130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130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FB8DC" w14:textId="77777777" w:rsidR="000A62BD" w:rsidRDefault="000A62BD">
      <w:r>
        <w:separator/>
      </w:r>
    </w:p>
  </w:footnote>
  <w:footnote w:type="continuationSeparator" w:id="0">
    <w:p w14:paraId="1AE4C689" w14:textId="77777777" w:rsidR="000A62BD" w:rsidRDefault="000A6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25674" w14:textId="77777777" w:rsidR="00C55E4E" w:rsidRDefault="00C55E4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991615"/>
    <w:multiLevelType w:val="hybridMultilevel"/>
    <w:tmpl w:val="24A8B384"/>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093AC8"/>
    <w:multiLevelType w:val="hybridMultilevel"/>
    <w:tmpl w:val="7A78C912"/>
    <w:lvl w:ilvl="0" w:tplc="61485DB6">
      <w:start w:val="1"/>
      <w:numFmt w:val="bullet"/>
      <w:lvlText w:val="–"/>
      <w:lvlJc w:val="left"/>
      <w:pPr>
        <w:tabs>
          <w:tab w:val="num" w:pos="720"/>
        </w:tabs>
        <w:ind w:left="720" w:hanging="360"/>
      </w:pPr>
      <w:rPr>
        <w:rFonts w:ascii="Ericsson Capital TT" w:hAnsi="Ericsson Capital TT" w:hint="default"/>
      </w:rPr>
    </w:lvl>
    <w:lvl w:ilvl="1" w:tplc="71566676">
      <w:start w:val="1"/>
      <w:numFmt w:val="bullet"/>
      <w:lvlText w:val="–"/>
      <w:lvlJc w:val="left"/>
      <w:pPr>
        <w:tabs>
          <w:tab w:val="num" w:pos="1440"/>
        </w:tabs>
        <w:ind w:left="1440" w:hanging="360"/>
      </w:pPr>
      <w:rPr>
        <w:rFonts w:ascii="Ericsson Capital TT" w:hAnsi="Ericsson Capital TT" w:hint="default"/>
      </w:rPr>
    </w:lvl>
    <w:lvl w:ilvl="2" w:tplc="47588EC0" w:tentative="1">
      <w:start w:val="1"/>
      <w:numFmt w:val="bullet"/>
      <w:lvlText w:val="–"/>
      <w:lvlJc w:val="left"/>
      <w:pPr>
        <w:tabs>
          <w:tab w:val="num" w:pos="2160"/>
        </w:tabs>
        <w:ind w:left="2160" w:hanging="360"/>
      </w:pPr>
      <w:rPr>
        <w:rFonts w:ascii="Ericsson Capital TT" w:hAnsi="Ericsson Capital TT" w:hint="default"/>
      </w:rPr>
    </w:lvl>
    <w:lvl w:ilvl="3" w:tplc="E89C6520" w:tentative="1">
      <w:start w:val="1"/>
      <w:numFmt w:val="bullet"/>
      <w:lvlText w:val="–"/>
      <w:lvlJc w:val="left"/>
      <w:pPr>
        <w:tabs>
          <w:tab w:val="num" w:pos="2880"/>
        </w:tabs>
        <w:ind w:left="2880" w:hanging="360"/>
      </w:pPr>
      <w:rPr>
        <w:rFonts w:ascii="Ericsson Capital TT" w:hAnsi="Ericsson Capital TT" w:hint="default"/>
      </w:rPr>
    </w:lvl>
    <w:lvl w:ilvl="4" w:tplc="DBF6EEB8" w:tentative="1">
      <w:start w:val="1"/>
      <w:numFmt w:val="bullet"/>
      <w:lvlText w:val="–"/>
      <w:lvlJc w:val="left"/>
      <w:pPr>
        <w:tabs>
          <w:tab w:val="num" w:pos="3600"/>
        </w:tabs>
        <w:ind w:left="3600" w:hanging="360"/>
      </w:pPr>
      <w:rPr>
        <w:rFonts w:ascii="Ericsson Capital TT" w:hAnsi="Ericsson Capital TT" w:hint="default"/>
      </w:rPr>
    </w:lvl>
    <w:lvl w:ilvl="5" w:tplc="CC6CD506" w:tentative="1">
      <w:start w:val="1"/>
      <w:numFmt w:val="bullet"/>
      <w:lvlText w:val="–"/>
      <w:lvlJc w:val="left"/>
      <w:pPr>
        <w:tabs>
          <w:tab w:val="num" w:pos="4320"/>
        </w:tabs>
        <w:ind w:left="4320" w:hanging="360"/>
      </w:pPr>
      <w:rPr>
        <w:rFonts w:ascii="Ericsson Capital TT" w:hAnsi="Ericsson Capital TT" w:hint="default"/>
      </w:rPr>
    </w:lvl>
    <w:lvl w:ilvl="6" w:tplc="D7E64C08" w:tentative="1">
      <w:start w:val="1"/>
      <w:numFmt w:val="bullet"/>
      <w:lvlText w:val="–"/>
      <w:lvlJc w:val="left"/>
      <w:pPr>
        <w:tabs>
          <w:tab w:val="num" w:pos="5040"/>
        </w:tabs>
        <w:ind w:left="5040" w:hanging="360"/>
      </w:pPr>
      <w:rPr>
        <w:rFonts w:ascii="Ericsson Capital TT" w:hAnsi="Ericsson Capital TT" w:hint="default"/>
      </w:rPr>
    </w:lvl>
    <w:lvl w:ilvl="7" w:tplc="2884977A" w:tentative="1">
      <w:start w:val="1"/>
      <w:numFmt w:val="bullet"/>
      <w:lvlText w:val="–"/>
      <w:lvlJc w:val="left"/>
      <w:pPr>
        <w:tabs>
          <w:tab w:val="num" w:pos="5760"/>
        </w:tabs>
        <w:ind w:left="5760" w:hanging="360"/>
      </w:pPr>
      <w:rPr>
        <w:rFonts w:ascii="Ericsson Capital TT" w:hAnsi="Ericsson Capital TT" w:hint="default"/>
      </w:rPr>
    </w:lvl>
    <w:lvl w:ilvl="8" w:tplc="987EA438"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3431"/>
        </w:tabs>
        <w:ind w:left="3431" w:hanging="1304"/>
      </w:pPr>
      <w:rPr>
        <w:rFonts w:hint="default"/>
      </w:rPr>
    </w:lvl>
    <w:lvl w:ilvl="1" w:tplc="04090019" w:tentative="1">
      <w:start w:val="1"/>
      <w:numFmt w:val="lowerLetter"/>
      <w:lvlText w:val="%2."/>
      <w:lvlJc w:val="left"/>
      <w:pPr>
        <w:tabs>
          <w:tab w:val="num" w:pos="3567"/>
        </w:tabs>
        <w:ind w:left="3567" w:hanging="360"/>
      </w:pPr>
    </w:lvl>
    <w:lvl w:ilvl="2" w:tplc="0409001B" w:tentative="1">
      <w:start w:val="1"/>
      <w:numFmt w:val="lowerRoman"/>
      <w:lvlText w:val="%3."/>
      <w:lvlJc w:val="right"/>
      <w:pPr>
        <w:tabs>
          <w:tab w:val="num" w:pos="4287"/>
        </w:tabs>
        <w:ind w:left="4287" w:hanging="180"/>
      </w:pPr>
    </w:lvl>
    <w:lvl w:ilvl="3" w:tplc="0409000F" w:tentative="1">
      <w:start w:val="1"/>
      <w:numFmt w:val="decimal"/>
      <w:lvlText w:val="%4."/>
      <w:lvlJc w:val="left"/>
      <w:pPr>
        <w:tabs>
          <w:tab w:val="num" w:pos="5007"/>
        </w:tabs>
        <w:ind w:left="5007" w:hanging="360"/>
      </w:pPr>
    </w:lvl>
    <w:lvl w:ilvl="4" w:tplc="04090019" w:tentative="1">
      <w:start w:val="1"/>
      <w:numFmt w:val="lowerLetter"/>
      <w:lvlText w:val="%5."/>
      <w:lvlJc w:val="left"/>
      <w:pPr>
        <w:tabs>
          <w:tab w:val="num" w:pos="5727"/>
        </w:tabs>
        <w:ind w:left="5727" w:hanging="360"/>
      </w:pPr>
    </w:lvl>
    <w:lvl w:ilvl="5" w:tplc="0409001B" w:tentative="1">
      <w:start w:val="1"/>
      <w:numFmt w:val="lowerRoman"/>
      <w:lvlText w:val="%6."/>
      <w:lvlJc w:val="right"/>
      <w:pPr>
        <w:tabs>
          <w:tab w:val="num" w:pos="6447"/>
        </w:tabs>
        <w:ind w:left="6447" w:hanging="180"/>
      </w:pPr>
    </w:lvl>
    <w:lvl w:ilvl="6" w:tplc="0409000F" w:tentative="1">
      <w:start w:val="1"/>
      <w:numFmt w:val="decimal"/>
      <w:lvlText w:val="%7."/>
      <w:lvlJc w:val="left"/>
      <w:pPr>
        <w:tabs>
          <w:tab w:val="num" w:pos="7167"/>
        </w:tabs>
        <w:ind w:left="7167" w:hanging="360"/>
      </w:pPr>
    </w:lvl>
    <w:lvl w:ilvl="7" w:tplc="04090019" w:tentative="1">
      <w:start w:val="1"/>
      <w:numFmt w:val="lowerLetter"/>
      <w:lvlText w:val="%8."/>
      <w:lvlJc w:val="left"/>
      <w:pPr>
        <w:tabs>
          <w:tab w:val="num" w:pos="7887"/>
        </w:tabs>
        <w:ind w:left="7887" w:hanging="360"/>
      </w:pPr>
    </w:lvl>
    <w:lvl w:ilvl="8" w:tplc="0409001B" w:tentative="1">
      <w:start w:val="1"/>
      <w:numFmt w:val="lowerRoman"/>
      <w:lvlText w:val="%9."/>
      <w:lvlJc w:val="right"/>
      <w:pPr>
        <w:tabs>
          <w:tab w:val="num" w:pos="8607"/>
        </w:tabs>
        <w:ind w:left="8607"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5F43A1"/>
    <w:multiLevelType w:val="hybridMultilevel"/>
    <w:tmpl w:val="56DCA1BC"/>
    <w:lvl w:ilvl="0" w:tplc="51802452">
      <w:start w:val="1"/>
      <w:numFmt w:val="bullet"/>
      <w:lvlText w:val="–"/>
      <w:lvlJc w:val="left"/>
      <w:pPr>
        <w:tabs>
          <w:tab w:val="num" w:pos="720"/>
        </w:tabs>
        <w:ind w:left="720" w:hanging="360"/>
      </w:pPr>
      <w:rPr>
        <w:rFonts w:ascii="Arial" w:hAnsi="Arial" w:hint="default"/>
      </w:rPr>
    </w:lvl>
    <w:lvl w:ilvl="1" w:tplc="B798C2D4">
      <w:start w:val="1"/>
      <w:numFmt w:val="bullet"/>
      <w:lvlText w:val="–"/>
      <w:lvlJc w:val="left"/>
      <w:pPr>
        <w:tabs>
          <w:tab w:val="num" w:pos="1440"/>
        </w:tabs>
        <w:ind w:left="1440" w:hanging="360"/>
      </w:pPr>
      <w:rPr>
        <w:rFonts w:ascii="Arial" w:hAnsi="Arial" w:hint="default"/>
      </w:rPr>
    </w:lvl>
    <w:lvl w:ilvl="2" w:tplc="AFA85462" w:tentative="1">
      <w:start w:val="1"/>
      <w:numFmt w:val="bullet"/>
      <w:lvlText w:val="–"/>
      <w:lvlJc w:val="left"/>
      <w:pPr>
        <w:tabs>
          <w:tab w:val="num" w:pos="2160"/>
        </w:tabs>
        <w:ind w:left="2160" w:hanging="360"/>
      </w:pPr>
      <w:rPr>
        <w:rFonts w:ascii="Arial" w:hAnsi="Arial" w:hint="default"/>
      </w:rPr>
    </w:lvl>
    <w:lvl w:ilvl="3" w:tplc="B53E8ECC" w:tentative="1">
      <w:start w:val="1"/>
      <w:numFmt w:val="bullet"/>
      <w:lvlText w:val="–"/>
      <w:lvlJc w:val="left"/>
      <w:pPr>
        <w:tabs>
          <w:tab w:val="num" w:pos="2880"/>
        </w:tabs>
        <w:ind w:left="2880" w:hanging="360"/>
      </w:pPr>
      <w:rPr>
        <w:rFonts w:ascii="Arial" w:hAnsi="Arial" w:hint="default"/>
      </w:rPr>
    </w:lvl>
    <w:lvl w:ilvl="4" w:tplc="C602C8C0" w:tentative="1">
      <w:start w:val="1"/>
      <w:numFmt w:val="bullet"/>
      <w:lvlText w:val="–"/>
      <w:lvlJc w:val="left"/>
      <w:pPr>
        <w:tabs>
          <w:tab w:val="num" w:pos="3600"/>
        </w:tabs>
        <w:ind w:left="3600" w:hanging="360"/>
      </w:pPr>
      <w:rPr>
        <w:rFonts w:ascii="Arial" w:hAnsi="Arial" w:hint="default"/>
      </w:rPr>
    </w:lvl>
    <w:lvl w:ilvl="5" w:tplc="EBAA8D22" w:tentative="1">
      <w:start w:val="1"/>
      <w:numFmt w:val="bullet"/>
      <w:lvlText w:val="–"/>
      <w:lvlJc w:val="left"/>
      <w:pPr>
        <w:tabs>
          <w:tab w:val="num" w:pos="4320"/>
        </w:tabs>
        <w:ind w:left="4320" w:hanging="360"/>
      </w:pPr>
      <w:rPr>
        <w:rFonts w:ascii="Arial" w:hAnsi="Arial" w:hint="default"/>
      </w:rPr>
    </w:lvl>
    <w:lvl w:ilvl="6" w:tplc="D7DEF8D8" w:tentative="1">
      <w:start w:val="1"/>
      <w:numFmt w:val="bullet"/>
      <w:lvlText w:val="–"/>
      <w:lvlJc w:val="left"/>
      <w:pPr>
        <w:tabs>
          <w:tab w:val="num" w:pos="5040"/>
        </w:tabs>
        <w:ind w:left="5040" w:hanging="360"/>
      </w:pPr>
      <w:rPr>
        <w:rFonts w:ascii="Arial" w:hAnsi="Arial" w:hint="default"/>
      </w:rPr>
    </w:lvl>
    <w:lvl w:ilvl="7" w:tplc="433A6A38" w:tentative="1">
      <w:start w:val="1"/>
      <w:numFmt w:val="bullet"/>
      <w:lvlText w:val="–"/>
      <w:lvlJc w:val="left"/>
      <w:pPr>
        <w:tabs>
          <w:tab w:val="num" w:pos="5760"/>
        </w:tabs>
        <w:ind w:left="5760" w:hanging="360"/>
      </w:pPr>
      <w:rPr>
        <w:rFonts w:ascii="Arial" w:hAnsi="Arial" w:hint="default"/>
      </w:rPr>
    </w:lvl>
    <w:lvl w:ilvl="8" w:tplc="44FE4A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84DA5"/>
    <w:multiLevelType w:val="hybridMultilevel"/>
    <w:tmpl w:val="AB2C2D50"/>
    <w:lvl w:ilvl="0" w:tplc="66C05E6C">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2CA4435"/>
    <w:multiLevelType w:val="hybridMultilevel"/>
    <w:tmpl w:val="ECF86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880CC0"/>
    <w:multiLevelType w:val="hybridMultilevel"/>
    <w:tmpl w:val="A0B00E2E"/>
    <w:lvl w:ilvl="0" w:tplc="68782466">
      <w:start w:val="1"/>
      <w:numFmt w:val="bullet"/>
      <w:lvlText w:val="–"/>
      <w:lvlJc w:val="left"/>
      <w:pPr>
        <w:tabs>
          <w:tab w:val="num" w:pos="360"/>
        </w:tabs>
        <w:ind w:left="360" w:hanging="360"/>
      </w:pPr>
      <w:rPr>
        <w:rFonts w:ascii="Ericsson Capital TT" w:hAnsi="Ericsson Capital TT" w:hint="default"/>
      </w:rPr>
    </w:lvl>
    <w:lvl w:ilvl="1" w:tplc="C5E8C932">
      <w:start w:val="1"/>
      <w:numFmt w:val="bullet"/>
      <w:lvlText w:val="–"/>
      <w:lvlJc w:val="left"/>
      <w:pPr>
        <w:tabs>
          <w:tab w:val="num" w:pos="1080"/>
        </w:tabs>
        <w:ind w:left="1080" w:hanging="360"/>
      </w:pPr>
      <w:rPr>
        <w:rFonts w:ascii="Ericsson Capital TT" w:hAnsi="Ericsson Capital TT" w:hint="default"/>
      </w:rPr>
    </w:lvl>
    <w:lvl w:ilvl="2" w:tplc="FED25BD0" w:tentative="1">
      <w:start w:val="1"/>
      <w:numFmt w:val="bullet"/>
      <w:lvlText w:val="–"/>
      <w:lvlJc w:val="left"/>
      <w:pPr>
        <w:tabs>
          <w:tab w:val="num" w:pos="1800"/>
        </w:tabs>
        <w:ind w:left="1800" w:hanging="360"/>
      </w:pPr>
      <w:rPr>
        <w:rFonts w:ascii="Ericsson Capital TT" w:hAnsi="Ericsson Capital TT" w:hint="default"/>
      </w:rPr>
    </w:lvl>
    <w:lvl w:ilvl="3" w:tplc="D08E4F4C" w:tentative="1">
      <w:start w:val="1"/>
      <w:numFmt w:val="bullet"/>
      <w:lvlText w:val="–"/>
      <w:lvlJc w:val="left"/>
      <w:pPr>
        <w:tabs>
          <w:tab w:val="num" w:pos="2520"/>
        </w:tabs>
        <w:ind w:left="2520" w:hanging="360"/>
      </w:pPr>
      <w:rPr>
        <w:rFonts w:ascii="Ericsson Capital TT" w:hAnsi="Ericsson Capital TT" w:hint="default"/>
      </w:rPr>
    </w:lvl>
    <w:lvl w:ilvl="4" w:tplc="AE2A0E94" w:tentative="1">
      <w:start w:val="1"/>
      <w:numFmt w:val="bullet"/>
      <w:lvlText w:val="–"/>
      <w:lvlJc w:val="left"/>
      <w:pPr>
        <w:tabs>
          <w:tab w:val="num" w:pos="3240"/>
        </w:tabs>
        <w:ind w:left="3240" w:hanging="360"/>
      </w:pPr>
      <w:rPr>
        <w:rFonts w:ascii="Ericsson Capital TT" w:hAnsi="Ericsson Capital TT" w:hint="default"/>
      </w:rPr>
    </w:lvl>
    <w:lvl w:ilvl="5" w:tplc="93943618" w:tentative="1">
      <w:start w:val="1"/>
      <w:numFmt w:val="bullet"/>
      <w:lvlText w:val="–"/>
      <w:lvlJc w:val="left"/>
      <w:pPr>
        <w:tabs>
          <w:tab w:val="num" w:pos="3960"/>
        </w:tabs>
        <w:ind w:left="3960" w:hanging="360"/>
      </w:pPr>
      <w:rPr>
        <w:rFonts w:ascii="Ericsson Capital TT" w:hAnsi="Ericsson Capital TT" w:hint="default"/>
      </w:rPr>
    </w:lvl>
    <w:lvl w:ilvl="6" w:tplc="8F5AD998" w:tentative="1">
      <w:start w:val="1"/>
      <w:numFmt w:val="bullet"/>
      <w:lvlText w:val="–"/>
      <w:lvlJc w:val="left"/>
      <w:pPr>
        <w:tabs>
          <w:tab w:val="num" w:pos="4680"/>
        </w:tabs>
        <w:ind w:left="4680" w:hanging="360"/>
      </w:pPr>
      <w:rPr>
        <w:rFonts w:ascii="Ericsson Capital TT" w:hAnsi="Ericsson Capital TT" w:hint="default"/>
      </w:rPr>
    </w:lvl>
    <w:lvl w:ilvl="7" w:tplc="5C466EF8" w:tentative="1">
      <w:start w:val="1"/>
      <w:numFmt w:val="bullet"/>
      <w:lvlText w:val="–"/>
      <w:lvlJc w:val="left"/>
      <w:pPr>
        <w:tabs>
          <w:tab w:val="num" w:pos="5400"/>
        </w:tabs>
        <w:ind w:left="5400" w:hanging="360"/>
      </w:pPr>
      <w:rPr>
        <w:rFonts w:ascii="Ericsson Capital TT" w:hAnsi="Ericsson Capital TT" w:hint="default"/>
      </w:rPr>
    </w:lvl>
    <w:lvl w:ilvl="8" w:tplc="B250331A" w:tentative="1">
      <w:start w:val="1"/>
      <w:numFmt w:val="bullet"/>
      <w:lvlText w:val="–"/>
      <w:lvlJc w:val="left"/>
      <w:pPr>
        <w:tabs>
          <w:tab w:val="num" w:pos="6120"/>
        </w:tabs>
        <w:ind w:left="6120" w:hanging="360"/>
      </w:pPr>
      <w:rPr>
        <w:rFonts w:ascii="Ericsson Capital TT" w:hAnsi="Ericsson Capital TT"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7"/>
  </w:num>
  <w:num w:numId="8">
    <w:abstractNumId w:val="8"/>
  </w:num>
  <w:num w:numId="9">
    <w:abstractNumId w:val="6"/>
  </w:num>
  <w:num w:numId="10">
    <w:abstractNumId w:val="2"/>
  </w:num>
  <w:num w:numId="11">
    <w:abstractNumId w:val="1"/>
  </w:num>
  <w:num w:numId="12">
    <w:abstractNumId w:val="0"/>
  </w:num>
  <w:num w:numId="13">
    <w:abstractNumId w:val="14"/>
  </w:num>
  <w:num w:numId="14">
    <w:abstractNumId w:val="18"/>
  </w:num>
  <w:num w:numId="15">
    <w:abstractNumId w:val="16"/>
  </w:num>
  <w:num w:numId="16">
    <w:abstractNumId w:val="5"/>
  </w:num>
  <w:num w:numId="17">
    <w:abstractNumId w:val="4"/>
  </w:num>
  <w:num w:numId="18">
    <w:abstractNumId w:val="15"/>
  </w:num>
  <w:num w:numId="19">
    <w:abstractNumId w:val="12"/>
  </w:num>
  <w:num w:numId="20">
    <w:abstractNumId w:val="9"/>
    <w:lvlOverride w:ilvl="0">
      <w:startOverride w:val="1"/>
    </w:lvlOverride>
  </w:num>
  <w:num w:numId="2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B38"/>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45CAC"/>
    <w:rsid w:val="00052A07"/>
    <w:rsid w:val="000534E3"/>
    <w:rsid w:val="000553B8"/>
    <w:rsid w:val="0005606A"/>
    <w:rsid w:val="00057117"/>
    <w:rsid w:val="000616E7"/>
    <w:rsid w:val="0006487E"/>
    <w:rsid w:val="00065E1A"/>
    <w:rsid w:val="00073648"/>
    <w:rsid w:val="00073D30"/>
    <w:rsid w:val="00077E5F"/>
    <w:rsid w:val="0008036A"/>
    <w:rsid w:val="00081AE6"/>
    <w:rsid w:val="000855EB"/>
    <w:rsid w:val="00085B52"/>
    <w:rsid w:val="000866F2"/>
    <w:rsid w:val="00087F7B"/>
    <w:rsid w:val="0009009F"/>
    <w:rsid w:val="00091557"/>
    <w:rsid w:val="000924C1"/>
    <w:rsid w:val="000924F0"/>
    <w:rsid w:val="00093474"/>
    <w:rsid w:val="0009510F"/>
    <w:rsid w:val="000A1B7B"/>
    <w:rsid w:val="000A56F2"/>
    <w:rsid w:val="000A62BD"/>
    <w:rsid w:val="000B2719"/>
    <w:rsid w:val="000B3A8F"/>
    <w:rsid w:val="000B4AB9"/>
    <w:rsid w:val="000B58C3"/>
    <w:rsid w:val="000B61E9"/>
    <w:rsid w:val="000C165A"/>
    <w:rsid w:val="000C2E19"/>
    <w:rsid w:val="000C7FB7"/>
    <w:rsid w:val="000D0D07"/>
    <w:rsid w:val="000D4797"/>
    <w:rsid w:val="000E0527"/>
    <w:rsid w:val="000E1E92"/>
    <w:rsid w:val="000E31C5"/>
    <w:rsid w:val="000E6640"/>
    <w:rsid w:val="000F06D6"/>
    <w:rsid w:val="000F0EB1"/>
    <w:rsid w:val="000F1106"/>
    <w:rsid w:val="000F3BE9"/>
    <w:rsid w:val="000F3F6C"/>
    <w:rsid w:val="000F6DF3"/>
    <w:rsid w:val="001005FF"/>
    <w:rsid w:val="00101555"/>
    <w:rsid w:val="001034AE"/>
    <w:rsid w:val="001062FB"/>
    <w:rsid w:val="001063E6"/>
    <w:rsid w:val="00113CF4"/>
    <w:rsid w:val="001153EA"/>
    <w:rsid w:val="00115643"/>
    <w:rsid w:val="00116765"/>
    <w:rsid w:val="001219F5"/>
    <w:rsid w:val="00121A20"/>
    <w:rsid w:val="00122F2E"/>
    <w:rsid w:val="0012377F"/>
    <w:rsid w:val="00123798"/>
    <w:rsid w:val="00124314"/>
    <w:rsid w:val="00126B4A"/>
    <w:rsid w:val="0012752F"/>
    <w:rsid w:val="00132FD0"/>
    <w:rsid w:val="001344C0"/>
    <w:rsid w:val="001346FA"/>
    <w:rsid w:val="00135252"/>
    <w:rsid w:val="00137AB5"/>
    <w:rsid w:val="00137F0B"/>
    <w:rsid w:val="00151E23"/>
    <w:rsid w:val="001526E0"/>
    <w:rsid w:val="001551B5"/>
    <w:rsid w:val="001643A8"/>
    <w:rsid w:val="001659C1"/>
    <w:rsid w:val="00173589"/>
    <w:rsid w:val="00173A8E"/>
    <w:rsid w:val="00177795"/>
    <w:rsid w:val="00180ACF"/>
    <w:rsid w:val="0018143F"/>
    <w:rsid w:val="00190AC1"/>
    <w:rsid w:val="0019341A"/>
    <w:rsid w:val="00197DF9"/>
    <w:rsid w:val="001A1987"/>
    <w:rsid w:val="001A2564"/>
    <w:rsid w:val="001A4082"/>
    <w:rsid w:val="001A6173"/>
    <w:rsid w:val="001A6CBA"/>
    <w:rsid w:val="001B0D97"/>
    <w:rsid w:val="001B5A5D"/>
    <w:rsid w:val="001B7A66"/>
    <w:rsid w:val="001C1CE5"/>
    <w:rsid w:val="001C3D2A"/>
    <w:rsid w:val="001C52BA"/>
    <w:rsid w:val="001C6495"/>
    <w:rsid w:val="001C77BC"/>
    <w:rsid w:val="001D51BA"/>
    <w:rsid w:val="001D6342"/>
    <w:rsid w:val="001D6D53"/>
    <w:rsid w:val="001E2B4E"/>
    <w:rsid w:val="001E58E2"/>
    <w:rsid w:val="001E7AED"/>
    <w:rsid w:val="001F3916"/>
    <w:rsid w:val="001F54C5"/>
    <w:rsid w:val="001F662C"/>
    <w:rsid w:val="001F7074"/>
    <w:rsid w:val="00200490"/>
    <w:rsid w:val="00201F3A"/>
    <w:rsid w:val="00203F96"/>
    <w:rsid w:val="002069B2"/>
    <w:rsid w:val="00207FA3"/>
    <w:rsid w:val="00213628"/>
    <w:rsid w:val="00214DA8"/>
    <w:rsid w:val="00215423"/>
    <w:rsid w:val="002158FA"/>
    <w:rsid w:val="00217AB2"/>
    <w:rsid w:val="00220600"/>
    <w:rsid w:val="002224DB"/>
    <w:rsid w:val="00223FCB"/>
    <w:rsid w:val="002252C3"/>
    <w:rsid w:val="00225C54"/>
    <w:rsid w:val="002273C1"/>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177"/>
    <w:rsid w:val="00287838"/>
    <w:rsid w:val="002907B5"/>
    <w:rsid w:val="00292EB7"/>
    <w:rsid w:val="00296227"/>
    <w:rsid w:val="00296F44"/>
    <w:rsid w:val="0029777D"/>
    <w:rsid w:val="002A055E"/>
    <w:rsid w:val="002A1D4E"/>
    <w:rsid w:val="002A2869"/>
    <w:rsid w:val="002B24D6"/>
    <w:rsid w:val="002C41E6"/>
    <w:rsid w:val="002C6183"/>
    <w:rsid w:val="002D071A"/>
    <w:rsid w:val="002D34B2"/>
    <w:rsid w:val="002D7637"/>
    <w:rsid w:val="002E1102"/>
    <w:rsid w:val="002E17F2"/>
    <w:rsid w:val="002E7CAE"/>
    <w:rsid w:val="002F25E7"/>
    <w:rsid w:val="002F2771"/>
    <w:rsid w:val="002F37A9"/>
    <w:rsid w:val="00301CE6"/>
    <w:rsid w:val="0030256B"/>
    <w:rsid w:val="0030501F"/>
    <w:rsid w:val="00305FE7"/>
    <w:rsid w:val="00307BA1"/>
    <w:rsid w:val="00311702"/>
    <w:rsid w:val="00311E82"/>
    <w:rsid w:val="00313FD6"/>
    <w:rsid w:val="003143BD"/>
    <w:rsid w:val="00314DDE"/>
    <w:rsid w:val="003203ED"/>
    <w:rsid w:val="00322C9F"/>
    <w:rsid w:val="00324D23"/>
    <w:rsid w:val="00331751"/>
    <w:rsid w:val="003319FA"/>
    <w:rsid w:val="00334579"/>
    <w:rsid w:val="00335858"/>
    <w:rsid w:val="00336BDA"/>
    <w:rsid w:val="00342BD7"/>
    <w:rsid w:val="00343A07"/>
    <w:rsid w:val="00346DB5"/>
    <w:rsid w:val="003477B1"/>
    <w:rsid w:val="0035482C"/>
    <w:rsid w:val="00357380"/>
    <w:rsid w:val="003602D9"/>
    <w:rsid w:val="003604CE"/>
    <w:rsid w:val="00362705"/>
    <w:rsid w:val="00362D9B"/>
    <w:rsid w:val="00370E47"/>
    <w:rsid w:val="003742AC"/>
    <w:rsid w:val="00377CE1"/>
    <w:rsid w:val="00380D10"/>
    <w:rsid w:val="00385BF0"/>
    <w:rsid w:val="003939FF"/>
    <w:rsid w:val="003A2223"/>
    <w:rsid w:val="003A2A0F"/>
    <w:rsid w:val="003A45A1"/>
    <w:rsid w:val="003A5B0A"/>
    <w:rsid w:val="003A6173"/>
    <w:rsid w:val="003A6BAC"/>
    <w:rsid w:val="003A7EF3"/>
    <w:rsid w:val="003B159C"/>
    <w:rsid w:val="003B369F"/>
    <w:rsid w:val="003B36A3"/>
    <w:rsid w:val="003B72EC"/>
    <w:rsid w:val="003B7B6B"/>
    <w:rsid w:val="003B7FE5"/>
    <w:rsid w:val="003C11C8"/>
    <w:rsid w:val="003C2702"/>
    <w:rsid w:val="003C7806"/>
    <w:rsid w:val="003D109F"/>
    <w:rsid w:val="003D2478"/>
    <w:rsid w:val="003D2FC4"/>
    <w:rsid w:val="003D3C45"/>
    <w:rsid w:val="003D3F7B"/>
    <w:rsid w:val="003D5B1F"/>
    <w:rsid w:val="003E15FA"/>
    <w:rsid w:val="003E55E4"/>
    <w:rsid w:val="003E74E3"/>
    <w:rsid w:val="003F05C7"/>
    <w:rsid w:val="003F0CAC"/>
    <w:rsid w:val="003F2CD4"/>
    <w:rsid w:val="003F6BBE"/>
    <w:rsid w:val="004000E8"/>
    <w:rsid w:val="00402E2B"/>
    <w:rsid w:val="0040512B"/>
    <w:rsid w:val="00405CA5"/>
    <w:rsid w:val="00407CD3"/>
    <w:rsid w:val="00410134"/>
    <w:rsid w:val="00410B72"/>
    <w:rsid w:val="00410F18"/>
    <w:rsid w:val="0041263E"/>
    <w:rsid w:val="004126B4"/>
    <w:rsid w:val="00413AAC"/>
    <w:rsid w:val="0041413E"/>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4A94"/>
    <w:rsid w:val="0049642C"/>
    <w:rsid w:val="004964F1"/>
    <w:rsid w:val="004A16BC"/>
    <w:rsid w:val="004A2B94"/>
    <w:rsid w:val="004B7C0C"/>
    <w:rsid w:val="004C3898"/>
    <w:rsid w:val="004C3A7F"/>
    <w:rsid w:val="004D36B1"/>
    <w:rsid w:val="004D7EBD"/>
    <w:rsid w:val="004D7F9F"/>
    <w:rsid w:val="004E0445"/>
    <w:rsid w:val="004E2680"/>
    <w:rsid w:val="004E28F9"/>
    <w:rsid w:val="004E462E"/>
    <w:rsid w:val="004E56DC"/>
    <w:rsid w:val="004E76F4"/>
    <w:rsid w:val="004F0B4E"/>
    <w:rsid w:val="004F0B6C"/>
    <w:rsid w:val="004F2078"/>
    <w:rsid w:val="004F4DA3"/>
    <w:rsid w:val="005010B9"/>
    <w:rsid w:val="00501BBA"/>
    <w:rsid w:val="00506557"/>
    <w:rsid w:val="0050677A"/>
    <w:rsid w:val="005108D8"/>
    <w:rsid w:val="005116F9"/>
    <w:rsid w:val="005153A7"/>
    <w:rsid w:val="0051757A"/>
    <w:rsid w:val="005219CF"/>
    <w:rsid w:val="005236C8"/>
    <w:rsid w:val="005338D0"/>
    <w:rsid w:val="00534B59"/>
    <w:rsid w:val="00536759"/>
    <w:rsid w:val="00537319"/>
    <w:rsid w:val="00537C62"/>
    <w:rsid w:val="00546970"/>
    <w:rsid w:val="00552B17"/>
    <w:rsid w:val="00554E19"/>
    <w:rsid w:val="0056121F"/>
    <w:rsid w:val="00562812"/>
    <w:rsid w:val="00572505"/>
    <w:rsid w:val="00582809"/>
    <w:rsid w:val="00583014"/>
    <w:rsid w:val="0058798C"/>
    <w:rsid w:val="005900FA"/>
    <w:rsid w:val="005935A4"/>
    <w:rsid w:val="00593879"/>
    <w:rsid w:val="005948C2"/>
    <w:rsid w:val="00595DCA"/>
    <w:rsid w:val="0059779B"/>
    <w:rsid w:val="005A209A"/>
    <w:rsid w:val="005A662D"/>
    <w:rsid w:val="005B1C93"/>
    <w:rsid w:val="005B35D7"/>
    <w:rsid w:val="005B392A"/>
    <w:rsid w:val="005B3AA3"/>
    <w:rsid w:val="005B46E5"/>
    <w:rsid w:val="005B6F83"/>
    <w:rsid w:val="005C0F90"/>
    <w:rsid w:val="005C74FB"/>
    <w:rsid w:val="005C788D"/>
    <w:rsid w:val="005D0C16"/>
    <w:rsid w:val="005D1602"/>
    <w:rsid w:val="005D2393"/>
    <w:rsid w:val="005D384B"/>
    <w:rsid w:val="005E2315"/>
    <w:rsid w:val="005E385F"/>
    <w:rsid w:val="005E3C64"/>
    <w:rsid w:val="005E5B81"/>
    <w:rsid w:val="005F2CB1"/>
    <w:rsid w:val="005F3025"/>
    <w:rsid w:val="005F4D03"/>
    <w:rsid w:val="005F55B0"/>
    <w:rsid w:val="005F618C"/>
    <w:rsid w:val="005F70BD"/>
    <w:rsid w:val="0060283C"/>
    <w:rsid w:val="00604F14"/>
    <w:rsid w:val="00605F62"/>
    <w:rsid w:val="00606FBC"/>
    <w:rsid w:val="00610695"/>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258"/>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95C"/>
    <w:rsid w:val="00667EE7"/>
    <w:rsid w:val="00670922"/>
    <w:rsid w:val="00670BE1"/>
    <w:rsid w:val="006715D7"/>
    <w:rsid w:val="0067218F"/>
    <w:rsid w:val="006741F2"/>
    <w:rsid w:val="00674CC3"/>
    <w:rsid w:val="00675C72"/>
    <w:rsid w:val="006771F9"/>
    <w:rsid w:val="006776D7"/>
    <w:rsid w:val="00681003"/>
    <w:rsid w:val="006817C9"/>
    <w:rsid w:val="00683ECE"/>
    <w:rsid w:val="00695FC2"/>
    <w:rsid w:val="00696949"/>
    <w:rsid w:val="00696C2E"/>
    <w:rsid w:val="00697052"/>
    <w:rsid w:val="006A1701"/>
    <w:rsid w:val="006A46FB"/>
    <w:rsid w:val="006A52A8"/>
    <w:rsid w:val="006A5E28"/>
    <w:rsid w:val="006A697B"/>
    <w:rsid w:val="006A7AFF"/>
    <w:rsid w:val="006B1816"/>
    <w:rsid w:val="006B2099"/>
    <w:rsid w:val="006B50CF"/>
    <w:rsid w:val="006C03B8"/>
    <w:rsid w:val="006C58F3"/>
    <w:rsid w:val="006C5CB7"/>
    <w:rsid w:val="006C5EC9"/>
    <w:rsid w:val="006C6059"/>
    <w:rsid w:val="006C7522"/>
    <w:rsid w:val="006D40A7"/>
    <w:rsid w:val="006D6F08"/>
    <w:rsid w:val="006E062C"/>
    <w:rsid w:val="006E28B7"/>
    <w:rsid w:val="006E3310"/>
    <w:rsid w:val="006E4E39"/>
    <w:rsid w:val="006E565E"/>
    <w:rsid w:val="006E673D"/>
    <w:rsid w:val="006E6E5D"/>
    <w:rsid w:val="006E7D3B"/>
    <w:rsid w:val="006F1B70"/>
    <w:rsid w:val="006F341D"/>
    <w:rsid w:val="006F3CDE"/>
    <w:rsid w:val="006F58D4"/>
    <w:rsid w:val="0070346E"/>
    <w:rsid w:val="00704EDB"/>
    <w:rsid w:val="0070537F"/>
    <w:rsid w:val="00705781"/>
    <w:rsid w:val="00706101"/>
    <w:rsid w:val="00707072"/>
    <w:rsid w:val="00707D61"/>
    <w:rsid w:val="0071049D"/>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3077"/>
    <w:rsid w:val="007571E1"/>
    <w:rsid w:val="007604B2"/>
    <w:rsid w:val="00765281"/>
    <w:rsid w:val="00766BAD"/>
    <w:rsid w:val="007730BD"/>
    <w:rsid w:val="007755F2"/>
    <w:rsid w:val="00776971"/>
    <w:rsid w:val="0078177E"/>
    <w:rsid w:val="00781AF3"/>
    <w:rsid w:val="00781B43"/>
    <w:rsid w:val="0078304C"/>
    <w:rsid w:val="00783673"/>
    <w:rsid w:val="00785490"/>
    <w:rsid w:val="007925EA"/>
    <w:rsid w:val="00793CD8"/>
    <w:rsid w:val="00795C92"/>
    <w:rsid w:val="00796231"/>
    <w:rsid w:val="007A1322"/>
    <w:rsid w:val="007A1CB3"/>
    <w:rsid w:val="007A306F"/>
    <w:rsid w:val="007A43A6"/>
    <w:rsid w:val="007A58A6"/>
    <w:rsid w:val="007B3D2D"/>
    <w:rsid w:val="007B50AE"/>
    <w:rsid w:val="007B51DF"/>
    <w:rsid w:val="007B6BDC"/>
    <w:rsid w:val="007C05DD"/>
    <w:rsid w:val="007C3D18"/>
    <w:rsid w:val="007C60BF"/>
    <w:rsid w:val="007C6A07"/>
    <w:rsid w:val="007C75A1"/>
    <w:rsid w:val="007C77A5"/>
    <w:rsid w:val="007D04E5"/>
    <w:rsid w:val="007D16BF"/>
    <w:rsid w:val="007D3650"/>
    <w:rsid w:val="007D5901"/>
    <w:rsid w:val="007D7526"/>
    <w:rsid w:val="007E4610"/>
    <w:rsid w:val="007E4715"/>
    <w:rsid w:val="007E505B"/>
    <w:rsid w:val="007E7091"/>
    <w:rsid w:val="007F25A4"/>
    <w:rsid w:val="00800450"/>
    <w:rsid w:val="00803FAE"/>
    <w:rsid w:val="0080605F"/>
    <w:rsid w:val="00807786"/>
    <w:rsid w:val="00811FCB"/>
    <w:rsid w:val="0081313C"/>
    <w:rsid w:val="008158D6"/>
    <w:rsid w:val="00817196"/>
    <w:rsid w:val="00817EDE"/>
    <w:rsid w:val="008235DB"/>
    <w:rsid w:val="00824AB4"/>
    <w:rsid w:val="00825C42"/>
    <w:rsid w:val="00825D25"/>
    <w:rsid w:val="00827D6F"/>
    <w:rsid w:val="00835C0E"/>
    <w:rsid w:val="008376AC"/>
    <w:rsid w:val="008444E8"/>
    <w:rsid w:val="008445F5"/>
    <w:rsid w:val="00844E80"/>
    <w:rsid w:val="00845E52"/>
    <w:rsid w:val="00846FE7"/>
    <w:rsid w:val="00850CEC"/>
    <w:rsid w:val="0085207A"/>
    <w:rsid w:val="008521AF"/>
    <w:rsid w:val="00856911"/>
    <w:rsid w:val="00857598"/>
    <w:rsid w:val="008624A0"/>
    <w:rsid w:val="008677FD"/>
    <w:rsid w:val="008706D4"/>
    <w:rsid w:val="00870F8A"/>
    <w:rsid w:val="008719A4"/>
    <w:rsid w:val="00871D23"/>
    <w:rsid w:val="00874312"/>
    <w:rsid w:val="0087437C"/>
    <w:rsid w:val="00875CD7"/>
    <w:rsid w:val="00876B4D"/>
    <w:rsid w:val="00877F18"/>
    <w:rsid w:val="00892091"/>
    <w:rsid w:val="00894A88"/>
    <w:rsid w:val="00895386"/>
    <w:rsid w:val="00897010"/>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A03"/>
    <w:rsid w:val="008C4BAA"/>
    <w:rsid w:val="008C5E5C"/>
    <w:rsid w:val="008C6AE8"/>
    <w:rsid w:val="008C7573"/>
    <w:rsid w:val="008D34F1"/>
    <w:rsid w:val="008D39D8"/>
    <w:rsid w:val="008D6D1A"/>
    <w:rsid w:val="008E065E"/>
    <w:rsid w:val="008E0927"/>
    <w:rsid w:val="008E1909"/>
    <w:rsid w:val="008F1EAB"/>
    <w:rsid w:val="008F3278"/>
    <w:rsid w:val="008F33DC"/>
    <w:rsid w:val="008F477F"/>
    <w:rsid w:val="009003A6"/>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57BFC"/>
    <w:rsid w:val="00961921"/>
    <w:rsid w:val="0096430A"/>
    <w:rsid w:val="0096460A"/>
    <w:rsid w:val="0096554B"/>
    <w:rsid w:val="0096584A"/>
    <w:rsid w:val="00967289"/>
    <w:rsid w:val="00971F08"/>
    <w:rsid w:val="0097603D"/>
    <w:rsid w:val="00976949"/>
    <w:rsid w:val="00980477"/>
    <w:rsid w:val="00982157"/>
    <w:rsid w:val="00985253"/>
    <w:rsid w:val="009853B3"/>
    <w:rsid w:val="00985BCB"/>
    <w:rsid w:val="00990630"/>
    <w:rsid w:val="00991761"/>
    <w:rsid w:val="00994DCA"/>
    <w:rsid w:val="009960EC"/>
    <w:rsid w:val="009970DD"/>
    <w:rsid w:val="009A0FBA"/>
    <w:rsid w:val="009A1601"/>
    <w:rsid w:val="009A3E7D"/>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6BEB"/>
    <w:rsid w:val="00A17F63"/>
    <w:rsid w:val="00A215E2"/>
    <w:rsid w:val="00A2193B"/>
    <w:rsid w:val="00A21ECB"/>
    <w:rsid w:val="00A2351A"/>
    <w:rsid w:val="00A264A9"/>
    <w:rsid w:val="00A27785"/>
    <w:rsid w:val="00A30187"/>
    <w:rsid w:val="00A309DB"/>
    <w:rsid w:val="00A3448A"/>
    <w:rsid w:val="00A35B5F"/>
    <w:rsid w:val="00A36297"/>
    <w:rsid w:val="00A41E2B"/>
    <w:rsid w:val="00A45B74"/>
    <w:rsid w:val="00A50706"/>
    <w:rsid w:val="00A52E1D"/>
    <w:rsid w:val="00A55613"/>
    <w:rsid w:val="00A56E14"/>
    <w:rsid w:val="00A61499"/>
    <w:rsid w:val="00A62A77"/>
    <w:rsid w:val="00A63483"/>
    <w:rsid w:val="00A657D7"/>
    <w:rsid w:val="00A660AC"/>
    <w:rsid w:val="00A67E6C"/>
    <w:rsid w:val="00A71B99"/>
    <w:rsid w:val="00A739D0"/>
    <w:rsid w:val="00A761D4"/>
    <w:rsid w:val="00A77708"/>
    <w:rsid w:val="00A77EC4"/>
    <w:rsid w:val="00A8266A"/>
    <w:rsid w:val="00A86F8B"/>
    <w:rsid w:val="00A92879"/>
    <w:rsid w:val="00A9442A"/>
    <w:rsid w:val="00AA016F"/>
    <w:rsid w:val="00AA1721"/>
    <w:rsid w:val="00AA1ED6"/>
    <w:rsid w:val="00AA51D6"/>
    <w:rsid w:val="00AB0BC8"/>
    <w:rsid w:val="00AB0CF8"/>
    <w:rsid w:val="00AB11CA"/>
    <w:rsid w:val="00AB14D9"/>
    <w:rsid w:val="00AB4AB8"/>
    <w:rsid w:val="00AB655E"/>
    <w:rsid w:val="00AB722E"/>
    <w:rsid w:val="00AC007F"/>
    <w:rsid w:val="00AC2ECD"/>
    <w:rsid w:val="00AC3119"/>
    <w:rsid w:val="00AC49FB"/>
    <w:rsid w:val="00AC5A10"/>
    <w:rsid w:val="00AD0AA3"/>
    <w:rsid w:val="00AD3F94"/>
    <w:rsid w:val="00AD4A5A"/>
    <w:rsid w:val="00AD4E27"/>
    <w:rsid w:val="00AE27AC"/>
    <w:rsid w:val="00AE40E0"/>
    <w:rsid w:val="00AE4DBA"/>
    <w:rsid w:val="00AE4F07"/>
    <w:rsid w:val="00AF1C5D"/>
    <w:rsid w:val="00AF42D7"/>
    <w:rsid w:val="00B006FE"/>
    <w:rsid w:val="00B007CB"/>
    <w:rsid w:val="00B02AA9"/>
    <w:rsid w:val="00B02FA3"/>
    <w:rsid w:val="00B05084"/>
    <w:rsid w:val="00B06991"/>
    <w:rsid w:val="00B157F9"/>
    <w:rsid w:val="00B167F1"/>
    <w:rsid w:val="00B20256"/>
    <w:rsid w:val="00B20D09"/>
    <w:rsid w:val="00B2763F"/>
    <w:rsid w:val="00B27AAC"/>
    <w:rsid w:val="00B30929"/>
    <w:rsid w:val="00B372AA"/>
    <w:rsid w:val="00B40445"/>
    <w:rsid w:val="00B41888"/>
    <w:rsid w:val="00B45A52"/>
    <w:rsid w:val="00B46175"/>
    <w:rsid w:val="00B50A7D"/>
    <w:rsid w:val="00B56E92"/>
    <w:rsid w:val="00B62AAA"/>
    <w:rsid w:val="00B664C7"/>
    <w:rsid w:val="00B739F6"/>
    <w:rsid w:val="00B774BD"/>
    <w:rsid w:val="00B80BFE"/>
    <w:rsid w:val="00B81A6C"/>
    <w:rsid w:val="00B85DE5"/>
    <w:rsid w:val="00B90F73"/>
    <w:rsid w:val="00B93B59"/>
    <w:rsid w:val="00B9406A"/>
    <w:rsid w:val="00BA2280"/>
    <w:rsid w:val="00BA2A08"/>
    <w:rsid w:val="00BA56D2"/>
    <w:rsid w:val="00BA76E0"/>
    <w:rsid w:val="00BB2A25"/>
    <w:rsid w:val="00BB51E9"/>
    <w:rsid w:val="00BC0195"/>
    <w:rsid w:val="00BC0FDC"/>
    <w:rsid w:val="00BC3053"/>
    <w:rsid w:val="00BC4D2E"/>
    <w:rsid w:val="00BD4215"/>
    <w:rsid w:val="00BD48AC"/>
    <w:rsid w:val="00BD5F1A"/>
    <w:rsid w:val="00BD69EF"/>
    <w:rsid w:val="00BE1234"/>
    <w:rsid w:val="00BE2FA6"/>
    <w:rsid w:val="00BE333F"/>
    <w:rsid w:val="00BE4F1F"/>
    <w:rsid w:val="00BE7406"/>
    <w:rsid w:val="00BE7603"/>
    <w:rsid w:val="00BF3279"/>
    <w:rsid w:val="00BF74C7"/>
    <w:rsid w:val="00C015F1"/>
    <w:rsid w:val="00C01F33"/>
    <w:rsid w:val="00C02CC6"/>
    <w:rsid w:val="00C040F7"/>
    <w:rsid w:val="00C041B0"/>
    <w:rsid w:val="00C044AB"/>
    <w:rsid w:val="00C05706"/>
    <w:rsid w:val="00C07377"/>
    <w:rsid w:val="00C102C9"/>
    <w:rsid w:val="00C10478"/>
    <w:rsid w:val="00C12107"/>
    <w:rsid w:val="00C14D4B"/>
    <w:rsid w:val="00C154BB"/>
    <w:rsid w:val="00C24B53"/>
    <w:rsid w:val="00C26FAA"/>
    <w:rsid w:val="00C279B5"/>
    <w:rsid w:val="00C27C45"/>
    <w:rsid w:val="00C3719D"/>
    <w:rsid w:val="00C40208"/>
    <w:rsid w:val="00C54995"/>
    <w:rsid w:val="00C54D41"/>
    <w:rsid w:val="00C55E4E"/>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0E10"/>
    <w:rsid w:val="00CD1188"/>
    <w:rsid w:val="00CD2ED1"/>
    <w:rsid w:val="00CD337B"/>
    <w:rsid w:val="00CE0424"/>
    <w:rsid w:val="00CE722B"/>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11D"/>
    <w:rsid w:val="00D37D87"/>
    <w:rsid w:val="00D40B33"/>
    <w:rsid w:val="00D4318F"/>
    <w:rsid w:val="00D438BF"/>
    <w:rsid w:val="00D440F8"/>
    <w:rsid w:val="00D533A4"/>
    <w:rsid w:val="00D546FF"/>
    <w:rsid w:val="00D55AD5"/>
    <w:rsid w:val="00D576CA"/>
    <w:rsid w:val="00D6023A"/>
    <w:rsid w:val="00D60E13"/>
    <w:rsid w:val="00D61AF5"/>
    <w:rsid w:val="00D62CD5"/>
    <w:rsid w:val="00D6435F"/>
    <w:rsid w:val="00D652B5"/>
    <w:rsid w:val="00D66155"/>
    <w:rsid w:val="00D708B0"/>
    <w:rsid w:val="00D719CF"/>
    <w:rsid w:val="00D72115"/>
    <w:rsid w:val="00D76A14"/>
    <w:rsid w:val="00D77B1D"/>
    <w:rsid w:val="00D8021F"/>
    <w:rsid w:val="00D80383"/>
    <w:rsid w:val="00D823C6"/>
    <w:rsid w:val="00D86CA3"/>
    <w:rsid w:val="00D871CE"/>
    <w:rsid w:val="00D9196D"/>
    <w:rsid w:val="00D92982"/>
    <w:rsid w:val="00DA305E"/>
    <w:rsid w:val="00DA40FA"/>
    <w:rsid w:val="00DA5007"/>
    <w:rsid w:val="00DA5417"/>
    <w:rsid w:val="00DA56E8"/>
    <w:rsid w:val="00DB0A9F"/>
    <w:rsid w:val="00DB377D"/>
    <w:rsid w:val="00DB6F25"/>
    <w:rsid w:val="00DB7587"/>
    <w:rsid w:val="00DC2D36"/>
    <w:rsid w:val="00DC53EF"/>
    <w:rsid w:val="00DC7C59"/>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0A9"/>
    <w:rsid w:val="00E32608"/>
    <w:rsid w:val="00E34188"/>
    <w:rsid w:val="00E345CD"/>
    <w:rsid w:val="00E34B6E"/>
    <w:rsid w:val="00E35559"/>
    <w:rsid w:val="00E3723A"/>
    <w:rsid w:val="00E37860"/>
    <w:rsid w:val="00E433EB"/>
    <w:rsid w:val="00E446F1"/>
    <w:rsid w:val="00E46886"/>
    <w:rsid w:val="00E47AEF"/>
    <w:rsid w:val="00E51A12"/>
    <w:rsid w:val="00E53B75"/>
    <w:rsid w:val="00E54E3B"/>
    <w:rsid w:val="00E55CE7"/>
    <w:rsid w:val="00E57565"/>
    <w:rsid w:val="00E57F3C"/>
    <w:rsid w:val="00E6282D"/>
    <w:rsid w:val="00E63838"/>
    <w:rsid w:val="00E64434"/>
    <w:rsid w:val="00E67C51"/>
    <w:rsid w:val="00E70F6B"/>
    <w:rsid w:val="00E72EFC"/>
    <w:rsid w:val="00E758EC"/>
    <w:rsid w:val="00E8234C"/>
    <w:rsid w:val="00E83AA9"/>
    <w:rsid w:val="00E85928"/>
    <w:rsid w:val="00E87822"/>
    <w:rsid w:val="00E90395"/>
    <w:rsid w:val="00E90E49"/>
    <w:rsid w:val="00E917F9"/>
    <w:rsid w:val="00E9291C"/>
    <w:rsid w:val="00E92A83"/>
    <w:rsid w:val="00E93FFE"/>
    <w:rsid w:val="00E94F8A"/>
    <w:rsid w:val="00EA7A41"/>
    <w:rsid w:val="00EB077B"/>
    <w:rsid w:val="00EB4EA2"/>
    <w:rsid w:val="00EC27C6"/>
    <w:rsid w:val="00EC3C42"/>
    <w:rsid w:val="00EC4207"/>
    <w:rsid w:val="00EC5653"/>
    <w:rsid w:val="00EC60B5"/>
    <w:rsid w:val="00EC71CE"/>
    <w:rsid w:val="00ED1006"/>
    <w:rsid w:val="00EF18FE"/>
    <w:rsid w:val="00EF5787"/>
    <w:rsid w:val="00EF5BD1"/>
    <w:rsid w:val="00EF60D0"/>
    <w:rsid w:val="00EF60FC"/>
    <w:rsid w:val="00EF6A50"/>
    <w:rsid w:val="00F0528D"/>
    <w:rsid w:val="00F05AE6"/>
    <w:rsid w:val="00F06C67"/>
    <w:rsid w:val="00F06DFD"/>
    <w:rsid w:val="00F071D1"/>
    <w:rsid w:val="00F07533"/>
    <w:rsid w:val="00F10629"/>
    <w:rsid w:val="00F15FA5"/>
    <w:rsid w:val="00F209B7"/>
    <w:rsid w:val="00F2376F"/>
    <w:rsid w:val="00F243D8"/>
    <w:rsid w:val="00F30828"/>
    <w:rsid w:val="00F313D6"/>
    <w:rsid w:val="00F35D43"/>
    <w:rsid w:val="00F40F0C"/>
    <w:rsid w:val="00F47176"/>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EF3"/>
    <w:rsid w:val="00F90F8D"/>
    <w:rsid w:val="00F92782"/>
    <w:rsid w:val="00F93AA9"/>
    <w:rsid w:val="00F96985"/>
    <w:rsid w:val="00F96D6B"/>
    <w:rsid w:val="00F97838"/>
    <w:rsid w:val="00FA2BB3"/>
    <w:rsid w:val="00FA3F68"/>
    <w:rsid w:val="00FA5F8C"/>
    <w:rsid w:val="00FB4C80"/>
    <w:rsid w:val="00FB6A6A"/>
    <w:rsid w:val="00FC16C8"/>
    <w:rsid w:val="00FC4AD0"/>
    <w:rsid w:val="00FC7429"/>
    <w:rsid w:val="00FD07F6"/>
    <w:rsid w:val="00FD1EC8"/>
    <w:rsid w:val="00FD2EC6"/>
    <w:rsid w:val="00FD3FB3"/>
    <w:rsid w:val="00FD47ED"/>
    <w:rsid w:val="00FD74DB"/>
    <w:rsid w:val="00FD7660"/>
    <w:rsid w:val="00FE0655"/>
    <w:rsid w:val="00FE1C28"/>
    <w:rsid w:val="00FE2365"/>
    <w:rsid w:val="00FE4C7B"/>
    <w:rsid w:val="00FE5962"/>
    <w:rsid w:val="00FE7336"/>
    <w:rsid w:val="00FE787C"/>
    <w:rsid w:val="00FF1302"/>
    <w:rsid w:val="00FF13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3F09F"/>
  <w15:chartTrackingRefBased/>
  <w15:docId w15:val="{3E4B4C96-31C4-42EC-9845-764DF9872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80D1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817E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817ED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17EDE"/>
    <w:pPr>
      <w:numPr>
        <w:ilvl w:val="2"/>
      </w:numPr>
      <w:spacing w:before="120"/>
      <w:outlineLvl w:val="2"/>
    </w:pPr>
    <w:rPr>
      <w:sz w:val="28"/>
      <w:szCs w:val="28"/>
    </w:rPr>
  </w:style>
  <w:style w:type="paragraph" w:styleId="Heading4">
    <w:name w:val="heading 4"/>
    <w:basedOn w:val="Heading3"/>
    <w:next w:val="Normal"/>
    <w:qFormat/>
    <w:rsid w:val="00817EDE"/>
    <w:pPr>
      <w:numPr>
        <w:ilvl w:val="3"/>
      </w:numPr>
      <w:outlineLvl w:val="3"/>
    </w:pPr>
    <w:rPr>
      <w:sz w:val="24"/>
      <w:szCs w:val="24"/>
    </w:rPr>
  </w:style>
  <w:style w:type="paragraph" w:styleId="Heading5">
    <w:name w:val="heading 5"/>
    <w:basedOn w:val="Heading4"/>
    <w:next w:val="Normal"/>
    <w:qFormat/>
    <w:rsid w:val="00817EDE"/>
    <w:pPr>
      <w:numPr>
        <w:ilvl w:val="4"/>
      </w:numPr>
      <w:outlineLvl w:val="4"/>
    </w:pPr>
    <w:rPr>
      <w:sz w:val="22"/>
      <w:szCs w:val="22"/>
    </w:rPr>
  </w:style>
  <w:style w:type="paragraph" w:styleId="Heading6">
    <w:name w:val="heading 6"/>
    <w:basedOn w:val="Normal"/>
    <w:next w:val="Normal"/>
    <w:qFormat/>
    <w:rsid w:val="00817EDE"/>
    <w:pPr>
      <w:keepNext/>
      <w:keepLines/>
      <w:numPr>
        <w:ilvl w:val="5"/>
        <w:numId w:val="1"/>
      </w:numPr>
      <w:spacing w:before="120"/>
      <w:outlineLvl w:val="5"/>
    </w:pPr>
    <w:rPr>
      <w:rFonts w:cs="Arial"/>
    </w:rPr>
  </w:style>
  <w:style w:type="paragraph" w:styleId="Heading7">
    <w:name w:val="heading 7"/>
    <w:basedOn w:val="Normal"/>
    <w:next w:val="Normal"/>
    <w:qFormat/>
    <w:rsid w:val="00817EDE"/>
    <w:pPr>
      <w:keepNext/>
      <w:keepLines/>
      <w:numPr>
        <w:ilvl w:val="6"/>
        <w:numId w:val="1"/>
      </w:numPr>
      <w:spacing w:before="120"/>
      <w:outlineLvl w:val="6"/>
    </w:pPr>
    <w:rPr>
      <w:rFonts w:cs="Arial"/>
    </w:rPr>
  </w:style>
  <w:style w:type="paragraph" w:styleId="Heading8">
    <w:name w:val="heading 8"/>
    <w:basedOn w:val="Heading7"/>
    <w:next w:val="Normal"/>
    <w:qFormat/>
    <w:rsid w:val="00817EDE"/>
    <w:pPr>
      <w:numPr>
        <w:ilvl w:val="7"/>
      </w:numPr>
      <w:outlineLvl w:val="7"/>
    </w:pPr>
  </w:style>
  <w:style w:type="paragraph" w:styleId="Heading9">
    <w:name w:val="heading 9"/>
    <w:basedOn w:val="Heading8"/>
    <w:next w:val="Normal"/>
    <w:qFormat/>
    <w:rsid w:val="00817ED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17EDE"/>
    <w:pPr>
      <w:spacing w:before="180"/>
      <w:ind w:left="2693" w:hanging="2693"/>
    </w:pPr>
    <w:rPr>
      <w:b w:val="0"/>
      <w:bCs/>
    </w:rPr>
  </w:style>
  <w:style w:type="paragraph" w:styleId="TOC1">
    <w:name w:val="toc 1"/>
    <w:aliases w:val="Observation TOC2"/>
    <w:uiPriority w:val="39"/>
    <w:rsid w:val="00817ED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817EDE"/>
    <w:pPr>
      <w:keepNext/>
      <w:keepLines/>
      <w:spacing w:before="180"/>
      <w:jc w:val="center"/>
    </w:pPr>
  </w:style>
  <w:style w:type="paragraph" w:styleId="Caption">
    <w:name w:val="caption"/>
    <w:basedOn w:val="Normal"/>
    <w:next w:val="Normal"/>
    <w:qFormat/>
    <w:rsid w:val="00817EDE"/>
    <w:pPr>
      <w:spacing w:after="240"/>
      <w:jc w:val="center"/>
    </w:pPr>
    <w:rPr>
      <w:b/>
      <w:bCs/>
    </w:rPr>
  </w:style>
  <w:style w:type="paragraph" w:styleId="TOC5">
    <w:name w:val="toc 5"/>
    <w:aliases w:val="Observation TOC"/>
    <w:basedOn w:val="TOC4"/>
    <w:semiHidden/>
    <w:rsid w:val="00817EDE"/>
    <w:pPr>
      <w:tabs>
        <w:tab w:val="right" w:pos="1701"/>
      </w:tabs>
      <w:ind w:left="1701" w:hanging="1701"/>
    </w:pPr>
  </w:style>
  <w:style w:type="paragraph" w:styleId="TOC4">
    <w:name w:val="toc 4"/>
    <w:basedOn w:val="TOC3"/>
    <w:semiHidden/>
    <w:rsid w:val="00817EDE"/>
    <w:pPr>
      <w:ind w:left="1418" w:hanging="1418"/>
    </w:pPr>
  </w:style>
  <w:style w:type="paragraph" w:styleId="TOC3">
    <w:name w:val="toc 3"/>
    <w:basedOn w:val="TOC2"/>
    <w:semiHidden/>
    <w:rsid w:val="00817EDE"/>
    <w:pPr>
      <w:ind w:left="1134" w:hanging="1134"/>
    </w:pPr>
  </w:style>
  <w:style w:type="paragraph" w:styleId="TOC2">
    <w:name w:val="toc 2"/>
    <w:basedOn w:val="TOC1"/>
    <w:semiHidden/>
    <w:rsid w:val="00817EDE"/>
    <w:pPr>
      <w:keepNext w:val="0"/>
      <w:spacing w:before="0"/>
      <w:ind w:left="851" w:hanging="851"/>
    </w:pPr>
    <w:rPr>
      <w:szCs w:val="20"/>
    </w:rPr>
  </w:style>
  <w:style w:type="paragraph" w:styleId="Index2">
    <w:name w:val="index 2"/>
    <w:basedOn w:val="Index1"/>
    <w:semiHidden/>
    <w:rsid w:val="00817EDE"/>
    <w:pPr>
      <w:ind w:left="284"/>
    </w:pPr>
  </w:style>
  <w:style w:type="paragraph" w:styleId="Index1">
    <w:name w:val="index 1"/>
    <w:basedOn w:val="Normal"/>
    <w:semiHidden/>
    <w:rsid w:val="00817EDE"/>
    <w:pPr>
      <w:keepLines/>
      <w:spacing w:after="0"/>
    </w:pPr>
  </w:style>
  <w:style w:type="paragraph" w:styleId="DocumentMap">
    <w:name w:val="Document Map"/>
    <w:basedOn w:val="Normal"/>
    <w:semiHidden/>
    <w:rsid w:val="00817EDE"/>
    <w:pPr>
      <w:shd w:val="clear" w:color="auto" w:fill="000080"/>
    </w:pPr>
    <w:rPr>
      <w:rFonts w:ascii="Tahoma" w:hAnsi="Tahoma" w:cs="Tahoma"/>
    </w:rPr>
  </w:style>
  <w:style w:type="paragraph" w:styleId="ListNumber2">
    <w:name w:val="List Number 2"/>
    <w:basedOn w:val="ListNumber"/>
    <w:rsid w:val="00817EDE"/>
    <w:pPr>
      <w:ind w:left="851"/>
    </w:pPr>
  </w:style>
  <w:style w:type="paragraph" w:styleId="ListNumber">
    <w:name w:val="List Number"/>
    <w:basedOn w:val="List"/>
    <w:rsid w:val="00817EDE"/>
  </w:style>
  <w:style w:type="paragraph" w:styleId="List">
    <w:name w:val="List"/>
    <w:basedOn w:val="Normal"/>
    <w:rsid w:val="00817EDE"/>
    <w:pPr>
      <w:ind w:left="568" w:hanging="284"/>
    </w:pPr>
  </w:style>
  <w:style w:type="paragraph" w:styleId="Header">
    <w:name w:val="header"/>
    <w:rsid w:val="00817EDE"/>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817EDE"/>
    <w:rPr>
      <w:b/>
      <w:bCs/>
      <w:position w:val="6"/>
      <w:sz w:val="16"/>
      <w:szCs w:val="16"/>
    </w:rPr>
  </w:style>
  <w:style w:type="paragraph" w:styleId="FootnoteText">
    <w:name w:val="footnote text"/>
    <w:basedOn w:val="Normal"/>
    <w:semiHidden/>
    <w:rsid w:val="00817EDE"/>
    <w:pPr>
      <w:keepLines/>
      <w:spacing w:after="0"/>
      <w:ind w:left="454" w:hanging="454"/>
    </w:pPr>
    <w:rPr>
      <w:sz w:val="16"/>
      <w:szCs w:val="16"/>
    </w:rPr>
  </w:style>
  <w:style w:type="paragraph" w:customStyle="1" w:styleId="3GPPHeader">
    <w:name w:val="3GPP_Header"/>
    <w:basedOn w:val="Normal"/>
    <w:rsid w:val="00817EDE"/>
    <w:pPr>
      <w:tabs>
        <w:tab w:val="left" w:pos="1701"/>
        <w:tab w:val="right" w:pos="9639"/>
      </w:tabs>
      <w:spacing w:after="240"/>
    </w:pPr>
    <w:rPr>
      <w:b/>
      <w:sz w:val="24"/>
    </w:rPr>
  </w:style>
  <w:style w:type="paragraph" w:styleId="TOC9">
    <w:name w:val="toc 9"/>
    <w:basedOn w:val="TOC8"/>
    <w:semiHidden/>
    <w:rsid w:val="00817EDE"/>
    <w:pPr>
      <w:ind w:left="1418" w:hanging="1418"/>
    </w:pPr>
  </w:style>
  <w:style w:type="paragraph" w:styleId="TOC6">
    <w:name w:val="toc 6"/>
    <w:basedOn w:val="TOC5"/>
    <w:next w:val="Normal"/>
    <w:semiHidden/>
    <w:rsid w:val="00817EDE"/>
    <w:pPr>
      <w:ind w:left="1985" w:hanging="1985"/>
    </w:pPr>
  </w:style>
  <w:style w:type="paragraph" w:styleId="TOC7">
    <w:name w:val="toc 7"/>
    <w:basedOn w:val="TOC6"/>
    <w:next w:val="Normal"/>
    <w:semiHidden/>
    <w:rsid w:val="00817EDE"/>
    <w:pPr>
      <w:ind w:left="2268" w:hanging="2268"/>
    </w:pPr>
  </w:style>
  <w:style w:type="paragraph" w:styleId="ListBullet2">
    <w:name w:val="List Bullet 2"/>
    <w:basedOn w:val="ListBullet"/>
    <w:rsid w:val="00817EDE"/>
    <w:pPr>
      <w:numPr>
        <w:numId w:val="6"/>
      </w:numPr>
    </w:pPr>
  </w:style>
  <w:style w:type="paragraph" w:styleId="ListBullet">
    <w:name w:val="List Bullet"/>
    <w:basedOn w:val="BodyText"/>
    <w:rsid w:val="00817EDE"/>
    <w:pPr>
      <w:numPr>
        <w:numId w:val="5"/>
      </w:numPr>
    </w:pPr>
  </w:style>
  <w:style w:type="paragraph" w:styleId="ListBullet3">
    <w:name w:val="List Bullet 3"/>
    <w:basedOn w:val="ListBullet2"/>
    <w:rsid w:val="00817EDE"/>
    <w:pPr>
      <w:numPr>
        <w:numId w:val="7"/>
      </w:numPr>
    </w:pPr>
  </w:style>
  <w:style w:type="paragraph" w:customStyle="1" w:styleId="EQ">
    <w:name w:val="EQ"/>
    <w:basedOn w:val="Normal"/>
    <w:next w:val="Normal"/>
    <w:rsid w:val="00817EDE"/>
    <w:pPr>
      <w:keepLines/>
      <w:tabs>
        <w:tab w:val="center" w:pos="4536"/>
        <w:tab w:val="right" w:pos="9072"/>
      </w:tabs>
      <w:spacing w:after="180"/>
      <w:jc w:val="left"/>
    </w:pPr>
    <w:rPr>
      <w:noProof/>
      <w:lang w:eastAsia="en-US"/>
    </w:rPr>
  </w:style>
  <w:style w:type="paragraph" w:styleId="List2">
    <w:name w:val="List 2"/>
    <w:basedOn w:val="List"/>
    <w:rsid w:val="00817EDE"/>
    <w:pPr>
      <w:ind w:left="851"/>
    </w:pPr>
  </w:style>
  <w:style w:type="paragraph" w:styleId="List3">
    <w:name w:val="List 3"/>
    <w:basedOn w:val="List2"/>
    <w:rsid w:val="00817EDE"/>
    <w:pPr>
      <w:ind w:left="1135"/>
    </w:pPr>
  </w:style>
  <w:style w:type="paragraph" w:styleId="List4">
    <w:name w:val="List 4"/>
    <w:basedOn w:val="List3"/>
    <w:rsid w:val="00817EDE"/>
    <w:pPr>
      <w:ind w:left="1418"/>
    </w:pPr>
  </w:style>
  <w:style w:type="paragraph" w:styleId="List5">
    <w:name w:val="List 5"/>
    <w:basedOn w:val="List4"/>
    <w:rsid w:val="00817EDE"/>
    <w:pPr>
      <w:ind w:left="1702"/>
    </w:pPr>
  </w:style>
  <w:style w:type="paragraph" w:customStyle="1" w:styleId="EditorsNote">
    <w:name w:val="Editor's Note"/>
    <w:basedOn w:val="Normal"/>
    <w:rsid w:val="00817EDE"/>
    <w:pPr>
      <w:keepLines/>
      <w:spacing w:after="180"/>
      <w:ind w:left="1135" w:hanging="851"/>
      <w:jc w:val="left"/>
    </w:pPr>
    <w:rPr>
      <w:color w:val="FF0000"/>
      <w:lang w:eastAsia="en-US"/>
    </w:rPr>
  </w:style>
  <w:style w:type="paragraph" w:styleId="ListBullet4">
    <w:name w:val="List Bullet 4"/>
    <w:basedOn w:val="ListBullet3"/>
    <w:rsid w:val="00817EDE"/>
    <w:pPr>
      <w:numPr>
        <w:numId w:val="8"/>
      </w:numPr>
    </w:pPr>
  </w:style>
  <w:style w:type="paragraph" w:styleId="ListBullet5">
    <w:name w:val="List Bullet 5"/>
    <w:basedOn w:val="ListBullet4"/>
    <w:rsid w:val="00817EDE"/>
    <w:pPr>
      <w:numPr>
        <w:numId w:val="4"/>
      </w:numPr>
    </w:pPr>
  </w:style>
  <w:style w:type="paragraph" w:styleId="Footer">
    <w:name w:val="footer"/>
    <w:basedOn w:val="Header"/>
    <w:semiHidden/>
    <w:rsid w:val="00817EDE"/>
    <w:pPr>
      <w:jc w:val="center"/>
    </w:pPr>
    <w:rPr>
      <w:i/>
      <w:iCs/>
    </w:rPr>
  </w:style>
  <w:style w:type="paragraph" w:customStyle="1" w:styleId="Reference">
    <w:name w:val="Reference"/>
    <w:basedOn w:val="Normal"/>
    <w:rsid w:val="00817EDE"/>
    <w:pPr>
      <w:numPr>
        <w:numId w:val="2"/>
      </w:numPr>
    </w:pPr>
  </w:style>
  <w:style w:type="paragraph" w:styleId="BalloonText">
    <w:name w:val="Balloon Text"/>
    <w:basedOn w:val="Normal"/>
    <w:link w:val="BalloonTextChar"/>
    <w:rsid w:val="00817EDE"/>
    <w:rPr>
      <w:rFonts w:ascii="Tahoma" w:hAnsi="Tahoma" w:cs="Tahoma"/>
      <w:sz w:val="16"/>
      <w:szCs w:val="16"/>
    </w:rPr>
  </w:style>
  <w:style w:type="character" w:styleId="PageNumber">
    <w:name w:val="page number"/>
    <w:semiHidden/>
    <w:rsid w:val="00817EDE"/>
  </w:style>
  <w:style w:type="paragraph" w:styleId="BodyText">
    <w:name w:val="Body Text"/>
    <w:basedOn w:val="Normal"/>
    <w:link w:val="BodyTextChar"/>
    <w:rsid w:val="00817EDE"/>
  </w:style>
  <w:style w:type="character" w:styleId="Hyperlink">
    <w:name w:val="Hyperlink"/>
    <w:uiPriority w:val="99"/>
    <w:rsid w:val="00817EDE"/>
    <w:rPr>
      <w:color w:val="0000FF"/>
      <w:u w:val="single"/>
      <w:lang w:val="en-GB"/>
    </w:rPr>
  </w:style>
  <w:style w:type="character" w:styleId="FollowedHyperlink">
    <w:name w:val="FollowedHyperlink"/>
    <w:semiHidden/>
    <w:rsid w:val="00817EDE"/>
    <w:rPr>
      <w:color w:val="FF0000"/>
      <w:u w:val="single"/>
    </w:rPr>
  </w:style>
  <w:style w:type="character" w:styleId="CommentReference">
    <w:name w:val="annotation reference"/>
    <w:semiHidden/>
    <w:rsid w:val="00817EDE"/>
    <w:rPr>
      <w:sz w:val="16"/>
      <w:szCs w:val="16"/>
    </w:rPr>
  </w:style>
  <w:style w:type="paragraph" w:styleId="CommentText">
    <w:name w:val="annotation text"/>
    <w:basedOn w:val="Normal"/>
    <w:semiHidden/>
    <w:rsid w:val="00817EDE"/>
  </w:style>
  <w:style w:type="paragraph" w:styleId="CommentSubject">
    <w:name w:val="annotation subject"/>
    <w:basedOn w:val="CommentText"/>
    <w:next w:val="CommentText"/>
    <w:semiHidden/>
    <w:rsid w:val="00817EDE"/>
    <w:rPr>
      <w:b/>
      <w:bCs/>
    </w:rPr>
  </w:style>
  <w:style w:type="character" w:customStyle="1" w:styleId="Heading1Char">
    <w:name w:val="Heading 1 Char"/>
    <w:link w:val="Heading1"/>
    <w:rsid w:val="00817EDE"/>
    <w:rPr>
      <w:rFonts w:ascii="Arial" w:hAnsi="Arial" w:cs="Arial"/>
      <w:sz w:val="36"/>
      <w:szCs w:val="36"/>
      <w:lang w:val="en-GB"/>
    </w:rPr>
  </w:style>
  <w:style w:type="paragraph" w:customStyle="1" w:styleId="B1">
    <w:name w:val="B1"/>
    <w:basedOn w:val="List"/>
    <w:rsid w:val="00817EDE"/>
    <w:pPr>
      <w:spacing w:after="180"/>
      <w:jc w:val="left"/>
    </w:pPr>
    <w:rPr>
      <w:lang w:eastAsia="en-US"/>
    </w:rPr>
  </w:style>
  <w:style w:type="paragraph" w:customStyle="1" w:styleId="B2">
    <w:name w:val="B2"/>
    <w:basedOn w:val="List2"/>
    <w:rsid w:val="00817EDE"/>
    <w:pPr>
      <w:spacing w:after="180"/>
      <w:jc w:val="left"/>
    </w:pPr>
    <w:rPr>
      <w:lang w:eastAsia="en-US"/>
    </w:rPr>
  </w:style>
  <w:style w:type="paragraph" w:customStyle="1" w:styleId="B3">
    <w:name w:val="B3"/>
    <w:basedOn w:val="List3"/>
    <w:rsid w:val="00817EDE"/>
    <w:pPr>
      <w:spacing w:after="180"/>
      <w:jc w:val="left"/>
    </w:pPr>
    <w:rPr>
      <w:lang w:eastAsia="en-US"/>
    </w:rPr>
  </w:style>
  <w:style w:type="paragraph" w:customStyle="1" w:styleId="B4">
    <w:name w:val="B4"/>
    <w:basedOn w:val="List4"/>
    <w:rsid w:val="00817EDE"/>
    <w:pPr>
      <w:spacing w:after="180"/>
      <w:jc w:val="left"/>
    </w:pPr>
    <w:rPr>
      <w:lang w:eastAsia="en-US"/>
    </w:rPr>
  </w:style>
  <w:style w:type="paragraph" w:customStyle="1" w:styleId="Proposal">
    <w:name w:val="Proposal"/>
    <w:basedOn w:val="Normal"/>
    <w:rsid w:val="00817EDE"/>
    <w:pPr>
      <w:numPr>
        <w:numId w:val="3"/>
      </w:numPr>
      <w:tabs>
        <w:tab w:val="left" w:pos="1701"/>
      </w:tabs>
      <w:ind w:left="1701" w:hanging="1701"/>
    </w:pPr>
    <w:rPr>
      <w:b/>
      <w:bCs/>
    </w:rPr>
  </w:style>
  <w:style w:type="character" w:customStyle="1" w:styleId="BodyTextChar">
    <w:name w:val="Body Text Char"/>
    <w:link w:val="BodyText"/>
    <w:rsid w:val="00817EDE"/>
    <w:rPr>
      <w:rFonts w:ascii="Arial" w:hAnsi="Arial"/>
      <w:lang w:val="en-GB"/>
    </w:rPr>
  </w:style>
  <w:style w:type="paragraph" w:customStyle="1" w:styleId="B5">
    <w:name w:val="B5"/>
    <w:basedOn w:val="List5"/>
    <w:rsid w:val="00817EDE"/>
    <w:pPr>
      <w:spacing w:after="180"/>
      <w:jc w:val="left"/>
    </w:pPr>
    <w:rPr>
      <w:lang w:eastAsia="en-US"/>
    </w:rPr>
  </w:style>
  <w:style w:type="paragraph" w:customStyle="1" w:styleId="EX">
    <w:name w:val="EX"/>
    <w:basedOn w:val="Normal"/>
    <w:rsid w:val="00817EDE"/>
    <w:pPr>
      <w:keepLines/>
      <w:spacing w:after="180"/>
      <w:ind w:left="1702" w:hanging="1418"/>
      <w:jc w:val="left"/>
    </w:pPr>
    <w:rPr>
      <w:lang w:eastAsia="en-US"/>
    </w:rPr>
  </w:style>
  <w:style w:type="paragraph" w:customStyle="1" w:styleId="EW">
    <w:name w:val="EW"/>
    <w:basedOn w:val="EX"/>
    <w:rsid w:val="00817EDE"/>
    <w:pPr>
      <w:spacing w:after="0"/>
    </w:pPr>
  </w:style>
  <w:style w:type="paragraph" w:customStyle="1" w:styleId="TAL">
    <w:name w:val="TAL"/>
    <w:basedOn w:val="Normal"/>
    <w:rsid w:val="00817EDE"/>
    <w:pPr>
      <w:keepNext/>
      <w:keepLines/>
      <w:spacing w:after="0"/>
      <w:jc w:val="left"/>
    </w:pPr>
    <w:rPr>
      <w:sz w:val="18"/>
      <w:lang w:eastAsia="en-US"/>
    </w:rPr>
  </w:style>
  <w:style w:type="paragraph" w:customStyle="1" w:styleId="TAC">
    <w:name w:val="TAC"/>
    <w:basedOn w:val="TAL"/>
    <w:rsid w:val="00817EDE"/>
    <w:pPr>
      <w:jc w:val="center"/>
    </w:pPr>
  </w:style>
  <w:style w:type="paragraph" w:customStyle="1" w:styleId="TAH">
    <w:name w:val="TAH"/>
    <w:basedOn w:val="TAC"/>
    <w:rsid w:val="00817EDE"/>
    <w:rPr>
      <w:b/>
    </w:rPr>
  </w:style>
  <w:style w:type="paragraph" w:customStyle="1" w:styleId="TAN">
    <w:name w:val="TAN"/>
    <w:basedOn w:val="TAL"/>
    <w:rsid w:val="00817EDE"/>
    <w:pPr>
      <w:ind w:left="851" w:hanging="851"/>
    </w:pPr>
  </w:style>
  <w:style w:type="paragraph" w:customStyle="1" w:styleId="TAR">
    <w:name w:val="TAR"/>
    <w:basedOn w:val="TAL"/>
    <w:rsid w:val="00817EDE"/>
    <w:pPr>
      <w:jc w:val="right"/>
    </w:pPr>
  </w:style>
  <w:style w:type="paragraph" w:customStyle="1" w:styleId="TH">
    <w:name w:val="TH"/>
    <w:basedOn w:val="Normal"/>
    <w:rsid w:val="00817EDE"/>
    <w:pPr>
      <w:keepNext/>
      <w:keepLines/>
      <w:spacing w:before="60" w:after="180"/>
      <w:jc w:val="center"/>
    </w:pPr>
    <w:rPr>
      <w:b/>
      <w:lang w:eastAsia="en-US"/>
    </w:rPr>
  </w:style>
  <w:style w:type="paragraph" w:customStyle="1" w:styleId="TF">
    <w:name w:val="TF"/>
    <w:basedOn w:val="TH"/>
    <w:rsid w:val="00817EDE"/>
    <w:pPr>
      <w:keepNext w:val="0"/>
      <w:spacing w:before="0" w:after="240"/>
    </w:pPr>
  </w:style>
  <w:style w:type="paragraph" w:customStyle="1" w:styleId="TT">
    <w:name w:val="TT"/>
    <w:basedOn w:val="Heading1"/>
    <w:next w:val="Normal"/>
    <w:rsid w:val="00817EDE"/>
    <w:pPr>
      <w:numPr>
        <w:numId w:val="0"/>
      </w:numPr>
      <w:ind w:left="1134" w:hanging="1134"/>
      <w:outlineLvl w:val="9"/>
    </w:pPr>
    <w:rPr>
      <w:rFonts w:cs="Times New Roman"/>
      <w:szCs w:val="20"/>
      <w:lang w:eastAsia="en-US"/>
    </w:rPr>
  </w:style>
  <w:style w:type="paragraph" w:customStyle="1" w:styleId="ZA">
    <w:name w:val="ZA"/>
    <w:rsid w:val="00817E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17E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17ED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817E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817EDE"/>
  </w:style>
  <w:style w:type="paragraph" w:customStyle="1" w:styleId="ZH">
    <w:name w:val="ZH"/>
    <w:rsid w:val="00817ED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817E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17EDE"/>
    <w:pPr>
      <w:framePr w:hRule="auto" w:wrap="notBeside" w:y="852"/>
    </w:pPr>
    <w:rPr>
      <w:i w:val="0"/>
      <w:sz w:val="40"/>
    </w:rPr>
  </w:style>
  <w:style w:type="paragraph" w:customStyle="1" w:styleId="ZU">
    <w:name w:val="ZU"/>
    <w:rsid w:val="00817E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17EDE"/>
    <w:pPr>
      <w:framePr w:wrap="notBeside" w:y="16161"/>
    </w:pPr>
  </w:style>
  <w:style w:type="paragraph" w:customStyle="1" w:styleId="FP">
    <w:name w:val="FP"/>
    <w:basedOn w:val="Normal"/>
    <w:rsid w:val="00817EDE"/>
    <w:pPr>
      <w:spacing w:after="0"/>
      <w:jc w:val="left"/>
    </w:pPr>
    <w:rPr>
      <w:lang w:eastAsia="en-US"/>
    </w:rPr>
  </w:style>
  <w:style w:type="paragraph" w:customStyle="1" w:styleId="Observation">
    <w:name w:val="Observation"/>
    <w:basedOn w:val="Proposal"/>
    <w:qFormat/>
    <w:rsid w:val="00817EDE"/>
    <w:pPr>
      <w:numPr>
        <w:numId w:val="13"/>
      </w:numPr>
      <w:ind w:left="1701" w:hanging="1701"/>
    </w:pPr>
  </w:style>
  <w:style w:type="paragraph" w:styleId="TableofFigures">
    <w:name w:val="table of figures"/>
    <w:basedOn w:val="Normal"/>
    <w:next w:val="Normal"/>
    <w:uiPriority w:val="99"/>
    <w:rsid w:val="00817ED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982157"/>
    <w:pPr>
      <w:ind w:left="720"/>
      <w:contextualSpacing/>
    </w:pPr>
  </w:style>
  <w:style w:type="character" w:customStyle="1" w:styleId="Heading2Char">
    <w:name w:val="Heading 2 Char"/>
    <w:link w:val="Heading2"/>
    <w:rsid w:val="007B6BDC"/>
    <w:rPr>
      <w:rFonts w:ascii="Arial" w:hAnsi="Arial" w:cs="Arial"/>
      <w:sz w:val="32"/>
      <w:szCs w:val="32"/>
      <w:lang w:val="en-GB" w:eastAsia="zh-CN"/>
    </w:rPr>
  </w:style>
  <w:style w:type="paragraph" w:customStyle="1" w:styleId="IvDbodytext">
    <w:name w:val="IvD bodytext"/>
    <w:basedOn w:val="BodyText"/>
    <w:link w:val="IvDbodytextChar"/>
    <w:qFormat/>
    <w:rsid w:val="00AB722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B722E"/>
    <w:rPr>
      <w:rFonts w:ascii="Arial" w:hAnsi="Arial"/>
      <w:spacing w:val="2"/>
      <w:lang w:val="en-US" w:eastAsia="en-US"/>
    </w:rPr>
  </w:style>
  <w:style w:type="character" w:customStyle="1" w:styleId="BalloonTextChar">
    <w:name w:val="Balloon Text Char"/>
    <w:link w:val="BalloonText"/>
    <w:rsid w:val="00E55CE7"/>
    <w:rPr>
      <w:rFonts w:ascii="Tahoma" w:hAnsi="Tahoma" w:cs="Tahoma"/>
      <w:sz w:val="16"/>
      <w:szCs w:val="16"/>
      <w:lang w:val="en-GB" w:eastAsia="zh-CN"/>
    </w:rPr>
  </w:style>
  <w:style w:type="paragraph" w:styleId="NormalWeb">
    <w:name w:val="Normal (Web)"/>
    <w:basedOn w:val="Normal"/>
    <w:uiPriority w:val="99"/>
    <w:unhideWhenUsed/>
    <w:rsid w:val="00FD2EC6"/>
    <w:pPr>
      <w:overflowPunct/>
      <w:autoSpaceDE/>
      <w:autoSpaceDN/>
      <w:adjustRightInd/>
      <w:spacing w:before="100" w:beforeAutospacing="1" w:after="100" w:afterAutospacing="1"/>
      <w:jc w:val="left"/>
      <w:textAlignment w:val="auto"/>
    </w:pPr>
    <w:rPr>
      <w:rFonts w:ascii="Times New Roman" w:hAnsi="Times New Roman"/>
      <w:sz w:val="24"/>
      <w:szCs w:val="24"/>
      <w:lang w:val="sv-SE"/>
    </w:rPr>
  </w:style>
  <w:style w:type="table" w:customStyle="1" w:styleId="TableGrid1">
    <w:name w:val="Table Grid1"/>
    <w:basedOn w:val="TableNormal"/>
    <w:next w:val="TableGrid"/>
    <w:uiPriority w:val="39"/>
    <w:rsid w:val="00781B43"/>
    <w:pPr>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81B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34AE"/>
    <w:pPr>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67880">
      <w:bodyDiv w:val="1"/>
      <w:marLeft w:val="0"/>
      <w:marRight w:val="0"/>
      <w:marTop w:val="0"/>
      <w:marBottom w:val="0"/>
      <w:divBdr>
        <w:top w:val="none" w:sz="0" w:space="0" w:color="auto"/>
        <w:left w:val="none" w:sz="0" w:space="0" w:color="auto"/>
        <w:bottom w:val="none" w:sz="0" w:space="0" w:color="auto"/>
        <w:right w:val="none" w:sz="0" w:space="0" w:color="auto"/>
      </w:divBdr>
      <w:divsChild>
        <w:div w:id="610480315">
          <w:marLeft w:val="1166"/>
          <w:marRight w:val="0"/>
          <w:marTop w:val="134"/>
          <w:marBottom w:val="0"/>
          <w:divBdr>
            <w:top w:val="none" w:sz="0" w:space="0" w:color="auto"/>
            <w:left w:val="none" w:sz="0" w:space="0" w:color="auto"/>
            <w:bottom w:val="none" w:sz="0" w:space="0" w:color="auto"/>
            <w:right w:val="none" w:sz="0" w:space="0" w:color="auto"/>
          </w:divBdr>
        </w:div>
      </w:divsChild>
    </w:div>
    <w:div w:id="46727518">
      <w:bodyDiv w:val="1"/>
      <w:marLeft w:val="0"/>
      <w:marRight w:val="0"/>
      <w:marTop w:val="0"/>
      <w:marBottom w:val="0"/>
      <w:divBdr>
        <w:top w:val="none" w:sz="0" w:space="0" w:color="auto"/>
        <w:left w:val="none" w:sz="0" w:space="0" w:color="auto"/>
        <w:bottom w:val="none" w:sz="0" w:space="0" w:color="auto"/>
        <w:right w:val="none" w:sz="0" w:space="0" w:color="auto"/>
      </w:divBdr>
      <w:divsChild>
        <w:div w:id="49113419">
          <w:marLeft w:val="835"/>
          <w:marRight w:val="0"/>
          <w:marTop w:val="77"/>
          <w:marBottom w:val="0"/>
          <w:divBdr>
            <w:top w:val="none" w:sz="0" w:space="0" w:color="auto"/>
            <w:left w:val="none" w:sz="0" w:space="0" w:color="auto"/>
            <w:bottom w:val="none" w:sz="0" w:space="0" w:color="auto"/>
            <w:right w:val="none" w:sz="0" w:space="0" w:color="auto"/>
          </w:divBdr>
        </w:div>
        <w:div w:id="269169887">
          <w:marLeft w:val="835"/>
          <w:marRight w:val="0"/>
          <w:marTop w:val="77"/>
          <w:marBottom w:val="0"/>
          <w:divBdr>
            <w:top w:val="none" w:sz="0" w:space="0" w:color="auto"/>
            <w:left w:val="none" w:sz="0" w:space="0" w:color="auto"/>
            <w:bottom w:val="none" w:sz="0" w:space="0" w:color="auto"/>
            <w:right w:val="none" w:sz="0" w:space="0" w:color="auto"/>
          </w:divBdr>
        </w:div>
        <w:div w:id="459567212">
          <w:marLeft w:val="835"/>
          <w:marRight w:val="0"/>
          <w:marTop w:val="77"/>
          <w:marBottom w:val="0"/>
          <w:divBdr>
            <w:top w:val="none" w:sz="0" w:space="0" w:color="auto"/>
            <w:left w:val="none" w:sz="0" w:space="0" w:color="auto"/>
            <w:bottom w:val="none" w:sz="0" w:space="0" w:color="auto"/>
            <w:right w:val="none" w:sz="0" w:space="0" w:color="auto"/>
          </w:divBdr>
        </w:div>
        <w:div w:id="533923475">
          <w:marLeft w:val="274"/>
          <w:marRight w:val="0"/>
          <w:marTop w:val="86"/>
          <w:marBottom w:val="0"/>
          <w:divBdr>
            <w:top w:val="none" w:sz="0" w:space="0" w:color="auto"/>
            <w:left w:val="none" w:sz="0" w:space="0" w:color="auto"/>
            <w:bottom w:val="none" w:sz="0" w:space="0" w:color="auto"/>
            <w:right w:val="none" w:sz="0" w:space="0" w:color="auto"/>
          </w:divBdr>
        </w:div>
        <w:div w:id="1179076526">
          <w:marLeft w:val="835"/>
          <w:marRight w:val="0"/>
          <w:marTop w:val="77"/>
          <w:marBottom w:val="0"/>
          <w:divBdr>
            <w:top w:val="none" w:sz="0" w:space="0" w:color="auto"/>
            <w:left w:val="none" w:sz="0" w:space="0" w:color="auto"/>
            <w:bottom w:val="none" w:sz="0" w:space="0" w:color="auto"/>
            <w:right w:val="none" w:sz="0" w:space="0" w:color="auto"/>
          </w:divBdr>
        </w:div>
        <w:div w:id="1473404049">
          <w:marLeft w:val="835"/>
          <w:marRight w:val="0"/>
          <w:marTop w:val="77"/>
          <w:marBottom w:val="0"/>
          <w:divBdr>
            <w:top w:val="none" w:sz="0" w:space="0" w:color="auto"/>
            <w:left w:val="none" w:sz="0" w:space="0" w:color="auto"/>
            <w:bottom w:val="none" w:sz="0" w:space="0" w:color="auto"/>
            <w:right w:val="none" w:sz="0" w:space="0" w:color="auto"/>
          </w:divBdr>
        </w:div>
        <w:div w:id="1642349795">
          <w:marLeft w:val="835"/>
          <w:marRight w:val="0"/>
          <w:marTop w:val="77"/>
          <w:marBottom w:val="0"/>
          <w:divBdr>
            <w:top w:val="none" w:sz="0" w:space="0" w:color="auto"/>
            <w:left w:val="none" w:sz="0" w:space="0" w:color="auto"/>
            <w:bottom w:val="none" w:sz="0" w:space="0" w:color="auto"/>
            <w:right w:val="none" w:sz="0" w:space="0" w:color="auto"/>
          </w:divBdr>
        </w:div>
      </w:divsChild>
    </w:div>
    <w:div w:id="453908917">
      <w:bodyDiv w:val="1"/>
      <w:marLeft w:val="0"/>
      <w:marRight w:val="0"/>
      <w:marTop w:val="0"/>
      <w:marBottom w:val="0"/>
      <w:divBdr>
        <w:top w:val="none" w:sz="0" w:space="0" w:color="auto"/>
        <w:left w:val="none" w:sz="0" w:space="0" w:color="auto"/>
        <w:bottom w:val="none" w:sz="0" w:space="0" w:color="auto"/>
        <w:right w:val="none" w:sz="0" w:space="0" w:color="auto"/>
      </w:divBdr>
    </w:div>
    <w:div w:id="468520368">
      <w:bodyDiv w:val="1"/>
      <w:marLeft w:val="0"/>
      <w:marRight w:val="0"/>
      <w:marTop w:val="0"/>
      <w:marBottom w:val="0"/>
      <w:divBdr>
        <w:top w:val="none" w:sz="0" w:space="0" w:color="auto"/>
        <w:left w:val="none" w:sz="0" w:space="0" w:color="auto"/>
        <w:bottom w:val="none" w:sz="0" w:space="0" w:color="auto"/>
        <w:right w:val="none" w:sz="0" w:space="0" w:color="auto"/>
      </w:divBdr>
      <w:divsChild>
        <w:div w:id="181676812">
          <w:marLeft w:val="835"/>
          <w:marRight w:val="0"/>
          <w:marTop w:val="77"/>
          <w:marBottom w:val="0"/>
          <w:divBdr>
            <w:top w:val="none" w:sz="0" w:space="0" w:color="auto"/>
            <w:left w:val="none" w:sz="0" w:space="0" w:color="auto"/>
            <w:bottom w:val="none" w:sz="0" w:space="0" w:color="auto"/>
            <w:right w:val="none" w:sz="0" w:space="0" w:color="auto"/>
          </w:divBdr>
        </w:div>
        <w:div w:id="1467162041">
          <w:marLeft w:val="835"/>
          <w:marRight w:val="0"/>
          <w:marTop w:val="77"/>
          <w:marBottom w:val="0"/>
          <w:divBdr>
            <w:top w:val="none" w:sz="0" w:space="0" w:color="auto"/>
            <w:left w:val="none" w:sz="0" w:space="0" w:color="auto"/>
            <w:bottom w:val="none" w:sz="0" w:space="0" w:color="auto"/>
            <w:right w:val="none" w:sz="0" w:space="0" w:color="auto"/>
          </w:divBdr>
        </w:div>
        <w:div w:id="1691950933">
          <w:marLeft w:val="835"/>
          <w:marRight w:val="0"/>
          <w:marTop w:val="77"/>
          <w:marBottom w:val="0"/>
          <w:divBdr>
            <w:top w:val="none" w:sz="0" w:space="0" w:color="auto"/>
            <w:left w:val="none" w:sz="0" w:space="0" w:color="auto"/>
            <w:bottom w:val="none" w:sz="0" w:space="0" w:color="auto"/>
            <w:right w:val="none" w:sz="0" w:space="0" w:color="auto"/>
          </w:divBdr>
        </w:div>
        <w:div w:id="1726417618">
          <w:marLeft w:val="274"/>
          <w:marRight w:val="0"/>
          <w:marTop w:val="86"/>
          <w:marBottom w:val="0"/>
          <w:divBdr>
            <w:top w:val="none" w:sz="0" w:space="0" w:color="auto"/>
            <w:left w:val="none" w:sz="0" w:space="0" w:color="auto"/>
            <w:bottom w:val="none" w:sz="0" w:space="0" w:color="auto"/>
            <w:right w:val="none" w:sz="0" w:space="0" w:color="auto"/>
          </w:divBdr>
        </w:div>
        <w:div w:id="1818915037">
          <w:marLeft w:val="835"/>
          <w:marRight w:val="0"/>
          <w:marTop w:val="77"/>
          <w:marBottom w:val="0"/>
          <w:divBdr>
            <w:top w:val="none" w:sz="0" w:space="0" w:color="auto"/>
            <w:left w:val="none" w:sz="0" w:space="0" w:color="auto"/>
            <w:bottom w:val="none" w:sz="0" w:space="0" w:color="auto"/>
            <w:right w:val="none" w:sz="0" w:space="0" w:color="auto"/>
          </w:divBdr>
        </w:div>
        <w:div w:id="2008287863">
          <w:marLeft w:val="835"/>
          <w:marRight w:val="0"/>
          <w:marTop w:val="77"/>
          <w:marBottom w:val="0"/>
          <w:divBdr>
            <w:top w:val="none" w:sz="0" w:space="0" w:color="auto"/>
            <w:left w:val="none" w:sz="0" w:space="0" w:color="auto"/>
            <w:bottom w:val="none" w:sz="0" w:space="0" w:color="auto"/>
            <w:right w:val="none" w:sz="0" w:space="0" w:color="auto"/>
          </w:divBdr>
        </w:div>
        <w:div w:id="2118986608">
          <w:marLeft w:val="835"/>
          <w:marRight w:val="0"/>
          <w:marTop w:val="77"/>
          <w:marBottom w:val="0"/>
          <w:divBdr>
            <w:top w:val="none" w:sz="0" w:space="0" w:color="auto"/>
            <w:left w:val="none" w:sz="0" w:space="0" w:color="auto"/>
            <w:bottom w:val="none" w:sz="0" w:space="0" w:color="auto"/>
            <w:right w:val="none" w:sz="0" w:space="0" w:color="auto"/>
          </w:divBdr>
        </w:div>
      </w:divsChild>
    </w:div>
    <w:div w:id="870343921">
      <w:bodyDiv w:val="1"/>
      <w:marLeft w:val="0"/>
      <w:marRight w:val="0"/>
      <w:marTop w:val="0"/>
      <w:marBottom w:val="0"/>
      <w:divBdr>
        <w:top w:val="none" w:sz="0" w:space="0" w:color="auto"/>
        <w:left w:val="none" w:sz="0" w:space="0" w:color="auto"/>
        <w:bottom w:val="none" w:sz="0" w:space="0" w:color="auto"/>
        <w:right w:val="none" w:sz="0" w:space="0" w:color="auto"/>
      </w:divBdr>
    </w:div>
    <w:div w:id="982274220">
      <w:bodyDiv w:val="1"/>
      <w:marLeft w:val="0"/>
      <w:marRight w:val="0"/>
      <w:marTop w:val="0"/>
      <w:marBottom w:val="0"/>
      <w:divBdr>
        <w:top w:val="none" w:sz="0" w:space="0" w:color="auto"/>
        <w:left w:val="none" w:sz="0" w:space="0" w:color="auto"/>
        <w:bottom w:val="none" w:sz="0" w:space="0" w:color="auto"/>
        <w:right w:val="none" w:sz="0" w:space="0" w:color="auto"/>
      </w:divBdr>
      <w:divsChild>
        <w:div w:id="6106020">
          <w:marLeft w:val="835"/>
          <w:marRight w:val="0"/>
          <w:marTop w:val="77"/>
          <w:marBottom w:val="0"/>
          <w:divBdr>
            <w:top w:val="none" w:sz="0" w:space="0" w:color="auto"/>
            <w:left w:val="none" w:sz="0" w:space="0" w:color="auto"/>
            <w:bottom w:val="none" w:sz="0" w:space="0" w:color="auto"/>
            <w:right w:val="none" w:sz="0" w:space="0" w:color="auto"/>
          </w:divBdr>
        </w:div>
        <w:div w:id="1239555816">
          <w:marLeft w:val="835"/>
          <w:marRight w:val="0"/>
          <w:marTop w:val="77"/>
          <w:marBottom w:val="0"/>
          <w:divBdr>
            <w:top w:val="none" w:sz="0" w:space="0" w:color="auto"/>
            <w:left w:val="none" w:sz="0" w:space="0" w:color="auto"/>
            <w:bottom w:val="none" w:sz="0" w:space="0" w:color="auto"/>
            <w:right w:val="none" w:sz="0" w:space="0" w:color="auto"/>
          </w:divBdr>
        </w:div>
        <w:div w:id="1885824404">
          <w:marLeft w:val="835"/>
          <w:marRight w:val="0"/>
          <w:marTop w:val="77"/>
          <w:marBottom w:val="0"/>
          <w:divBdr>
            <w:top w:val="none" w:sz="0" w:space="0" w:color="auto"/>
            <w:left w:val="none" w:sz="0" w:space="0" w:color="auto"/>
            <w:bottom w:val="none" w:sz="0" w:space="0" w:color="auto"/>
            <w:right w:val="none" w:sz="0" w:space="0" w:color="auto"/>
          </w:divBdr>
        </w:div>
        <w:div w:id="1921788264">
          <w:marLeft w:val="835"/>
          <w:marRight w:val="0"/>
          <w:marTop w:val="77"/>
          <w:marBottom w:val="0"/>
          <w:divBdr>
            <w:top w:val="none" w:sz="0" w:space="0" w:color="auto"/>
            <w:left w:val="none" w:sz="0" w:space="0" w:color="auto"/>
            <w:bottom w:val="none" w:sz="0" w:space="0" w:color="auto"/>
            <w:right w:val="none" w:sz="0" w:space="0" w:color="auto"/>
          </w:divBdr>
        </w:div>
      </w:divsChild>
    </w:div>
    <w:div w:id="1350717336">
      <w:bodyDiv w:val="1"/>
      <w:marLeft w:val="0"/>
      <w:marRight w:val="0"/>
      <w:marTop w:val="0"/>
      <w:marBottom w:val="0"/>
      <w:divBdr>
        <w:top w:val="none" w:sz="0" w:space="0" w:color="auto"/>
        <w:left w:val="none" w:sz="0" w:space="0" w:color="auto"/>
        <w:bottom w:val="none" w:sz="0" w:space="0" w:color="auto"/>
        <w:right w:val="none" w:sz="0" w:space="0" w:color="auto"/>
      </w:divBdr>
    </w:div>
    <w:div w:id="1358656735">
      <w:bodyDiv w:val="1"/>
      <w:marLeft w:val="0"/>
      <w:marRight w:val="0"/>
      <w:marTop w:val="0"/>
      <w:marBottom w:val="0"/>
      <w:divBdr>
        <w:top w:val="none" w:sz="0" w:space="0" w:color="auto"/>
        <w:left w:val="none" w:sz="0" w:space="0" w:color="auto"/>
        <w:bottom w:val="none" w:sz="0" w:space="0" w:color="auto"/>
        <w:right w:val="none" w:sz="0" w:space="0" w:color="auto"/>
      </w:divBdr>
    </w:div>
    <w:div w:id="1552307954">
      <w:bodyDiv w:val="1"/>
      <w:marLeft w:val="0"/>
      <w:marRight w:val="0"/>
      <w:marTop w:val="0"/>
      <w:marBottom w:val="0"/>
      <w:divBdr>
        <w:top w:val="none" w:sz="0" w:space="0" w:color="auto"/>
        <w:left w:val="none" w:sz="0" w:space="0" w:color="auto"/>
        <w:bottom w:val="none" w:sz="0" w:space="0" w:color="auto"/>
        <w:right w:val="none" w:sz="0" w:space="0" w:color="auto"/>
      </w:divBdr>
      <w:divsChild>
        <w:div w:id="1631280567">
          <w:marLeft w:val="274"/>
          <w:marRight w:val="0"/>
          <w:marTop w:val="86"/>
          <w:marBottom w:val="0"/>
          <w:divBdr>
            <w:top w:val="none" w:sz="0" w:space="0" w:color="auto"/>
            <w:left w:val="none" w:sz="0" w:space="0" w:color="auto"/>
            <w:bottom w:val="none" w:sz="0" w:space="0" w:color="auto"/>
            <w:right w:val="none" w:sz="0" w:space="0" w:color="auto"/>
          </w:divBdr>
        </w:div>
      </w:divsChild>
    </w:div>
    <w:div w:id="1579170923">
      <w:bodyDiv w:val="1"/>
      <w:marLeft w:val="0"/>
      <w:marRight w:val="0"/>
      <w:marTop w:val="0"/>
      <w:marBottom w:val="0"/>
      <w:divBdr>
        <w:top w:val="none" w:sz="0" w:space="0" w:color="auto"/>
        <w:left w:val="none" w:sz="0" w:space="0" w:color="auto"/>
        <w:bottom w:val="none" w:sz="0" w:space="0" w:color="auto"/>
        <w:right w:val="none" w:sz="0" w:space="0" w:color="auto"/>
      </w:divBdr>
    </w:div>
    <w:div w:id="1882742192">
      <w:bodyDiv w:val="1"/>
      <w:marLeft w:val="0"/>
      <w:marRight w:val="0"/>
      <w:marTop w:val="0"/>
      <w:marBottom w:val="0"/>
      <w:divBdr>
        <w:top w:val="none" w:sz="0" w:space="0" w:color="auto"/>
        <w:left w:val="none" w:sz="0" w:space="0" w:color="auto"/>
        <w:bottom w:val="none" w:sz="0" w:space="0" w:color="auto"/>
        <w:right w:val="none" w:sz="0" w:space="0" w:color="auto"/>
      </w:divBdr>
      <w:divsChild>
        <w:div w:id="2018118096">
          <w:marLeft w:val="1166"/>
          <w:marRight w:val="0"/>
          <w:marTop w:val="80"/>
          <w:marBottom w:val="0"/>
          <w:divBdr>
            <w:top w:val="none" w:sz="0" w:space="0" w:color="auto"/>
            <w:left w:val="none" w:sz="0" w:space="0" w:color="auto"/>
            <w:bottom w:val="none" w:sz="0" w:space="0" w:color="auto"/>
            <w:right w:val="none" w:sz="0" w:space="0" w:color="auto"/>
          </w:divBdr>
        </w:div>
      </w:divsChild>
    </w:div>
    <w:div w:id="1969775052">
      <w:bodyDiv w:val="1"/>
      <w:marLeft w:val="0"/>
      <w:marRight w:val="0"/>
      <w:marTop w:val="0"/>
      <w:marBottom w:val="0"/>
      <w:divBdr>
        <w:top w:val="none" w:sz="0" w:space="0" w:color="auto"/>
        <w:left w:val="none" w:sz="0" w:space="0" w:color="auto"/>
        <w:bottom w:val="none" w:sz="0" w:space="0" w:color="auto"/>
        <w:right w:val="none" w:sz="0" w:space="0" w:color="auto"/>
      </w:divBdr>
      <w:divsChild>
        <w:div w:id="928848701">
          <w:marLeft w:val="1166"/>
          <w:marRight w:val="0"/>
          <w:marTop w:val="134"/>
          <w:marBottom w:val="0"/>
          <w:divBdr>
            <w:top w:val="none" w:sz="0" w:space="0" w:color="auto"/>
            <w:left w:val="none" w:sz="0" w:space="0" w:color="auto"/>
            <w:bottom w:val="none" w:sz="0" w:space="0" w:color="auto"/>
            <w:right w:val="none" w:sz="0" w:space="0" w:color="auto"/>
          </w:divBdr>
        </w:div>
      </w:divsChild>
    </w:div>
    <w:div w:id="203503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345F7-13F4-4234-85EB-EEBEE29ED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377</TotalTime>
  <Pages>5</Pages>
  <Words>2340</Words>
  <Characters>12405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bela.rathonyi@ericsson.com</dc:creator>
  <cp:keywords>3GPP; Ericsson; TDoc</cp:keywords>
  <cp:lastModifiedBy>Yutao Sui</cp:lastModifiedBy>
  <cp:revision>38</cp:revision>
  <cp:lastPrinted>2008-01-31T07:09:00Z</cp:lastPrinted>
  <dcterms:created xsi:type="dcterms:W3CDTF">2016-09-22T11:18:00Z</dcterms:created>
  <dcterms:modified xsi:type="dcterms:W3CDTF">2016-09-30T18:54:00Z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